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CE" w:rsidRPr="001041BC" w:rsidRDefault="006E2DCE" w:rsidP="006E2DCE">
      <w:pPr>
        <w:pStyle w:val="Textoindependiente"/>
        <w:rPr>
          <w:rFonts w:ascii="Times New Roman" w:hAnsi="Times New Roman"/>
          <w:sz w:val="22"/>
          <w:szCs w:val="22"/>
        </w:rPr>
      </w:pPr>
      <w:r w:rsidRPr="001041BC">
        <w:rPr>
          <w:rFonts w:ascii="Times New Roman" w:hAnsi="Times New Roman"/>
          <w:sz w:val="22"/>
          <w:szCs w:val="22"/>
        </w:rPr>
        <w:t>MATRIZ DE ANÁLISIS DE OBSERVACIONES DE LA CONSULTA INTERNACIONAL</w:t>
      </w:r>
    </w:p>
    <w:p w:rsidR="00BE1932" w:rsidRPr="001041BC" w:rsidRDefault="00BE1932" w:rsidP="00BE1932">
      <w:pPr>
        <w:jc w:val="center"/>
        <w:rPr>
          <w:b/>
          <w:sz w:val="22"/>
          <w:szCs w:val="22"/>
          <w:lang w:val="es-CR" w:eastAsia="en-US"/>
        </w:rPr>
      </w:pPr>
      <w:r w:rsidRPr="001041BC">
        <w:rPr>
          <w:b/>
          <w:sz w:val="22"/>
          <w:szCs w:val="22"/>
          <w:lang w:val="es-CR" w:eastAsia="en-US"/>
        </w:rPr>
        <w:t>REGLAMENTO TECNICO CENTROAMERICANO PARA</w:t>
      </w:r>
      <w:r w:rsidR="00EB3AE6" w:rsidRPr="001041BC">
        <w:rPr>
          <w:b/>
          <w:sz w:val="22"/>
          <w:szCs w:val="22"/>
          <w:lang w:val="es-CR" w:eastAsia="en-US"/>
        </w:rPr>
        <w:t xml:space="preserve"> EL USO DE TERMINOS LECHEROS</w:t>
      </w:r>
    </w:p>
    <w:p w:rsidR="00EB3AE6" w:rsidRPr="001041BC" w:rsidRDefault="00EB3AE6" w:rsidP="00BE1932">
      <w:pPr>
        <w:jc w:val="center"/>
        <w:rPr>
          <w:sz w:val="22"/>
          <w:szCs w:val="22"/>
        </w:rPr>
      </w:pPr>
    </w:p>
    <w:tbl>
      <w:tblPr>
        <w:tblStyle w:val="Tablaconcuadrcula"/>
        <w:tblW w:w="0" w:type="auto"/>
        <w:tblLook w:val="04A0" w:firstRow="1" w:lastRow="0" w:firstColumn="1" w:lastColumn="0" w:noHBand="0" w:noVBand="1"/>
      </w:tblPr>
      <w:tblGrid>
        <w:gridCol w:w="1927"/>
        <w:gridCol w:w="1900"/>
        <w:gridCol w:w="10242"/>
        <w:gridCol w:w="1640"/>
        <w:gridCol w:w="1833"/>
      </w:tblGrid>
      <w:tr w:rsidR="00F03E14" w:rsidRPr="00F05FF5" w:rsidTr="00E528CA">
        <w:tc>
          <w:tcPr>
            <w:tcW w:w="0" w:type="auto"/>
            <w:tcBorders>
              <w:bottom w:val="single" w:sz="4" w:space="0" w:color="auto"/>
            </w:tcBorders>
            <w:shd w:val="clear" w:color="auto" w:fill="8DB3E2" w:themeFill="text2" w:themeFillTint="66"/>
            <w:vAlign w:val="center"/>
          </w:tcPr>
          <w:p w:rsidR="006E2DCE" w:rsidRPr="00F05FF5" w:rsidRDefault="006E2DCE" w:rsidP="00B206B3">
            <w:pPr>
              <w:jc w:val="center"/>
              <w:rPr>
                <w:b/>
                <w:sz w:val="24"/>
                <w:szCs w:val="24"/>
                <w:lang w:val="es-CR" w:eastAsia="en-US"/>
              </w:rPr>
            </w:pPr>
            <w:r w:rsidRPr="00F05FF5">
              <w:rPr>
                <w:b/>
                <w:sz w:val="24"/>
                <w:szCs w:val="24"/>
                <w:lang w:val="es-CR" w:eastAsia="en-US"/>
              </w:rPr>
              <w:t>País que recibió la observación</w:t>
            </w:r>
          </w:p>
        </w:tc>
        <w:tc>
          <w:tcPr>
            <w:tcW w:w="0" w:type="auto"/>
            <w:tcBorders>
              <w:bottom w:val="single" w:sz="4" w:space="0" w:color="auto"/>
            </w:tcBorders>
            <w:shd w:val="clear" w:color="auto" w:fill="8DB3E2" w:themeFill="text2" w:themeFillTint="66"/>
            <w:vAlign w:val="center"/>
          </w:tcPr>
          <w:p w:rsidR="006E2DCE" w:rsidRPr="00F05FF5" w:rsidRDefault="006E2DCE" w:rsidP="00B206B3">
            <w:pPr>
              <w:jc w:val="center"/>
              <w:rPr>
                <w:b/>
                <w:sz w:val="24"/>
                <w:szCs w:val="24"/>
                <w:lang w:val="es-CR" w:eastAsia="en-US"/>
              </w:rPr>
            </w:pPr>
            <w:r w:rsidRPr="00F05FF5">
              <w:rPr>
                <w:b/>
                <w:sz w:val="24"/>
                <w:szCs w:val="24"/>
                <w:lang w:val="es-CR" w:eastAsia="en-US"/>
              </w:rPr>
              <w:t>Ente que envía la observación</w:t>
            </w:r>
          </w:p>
        </w:tc>
        <w:tc>
          <w:tcPr>
            <w:tcW w:w="0" w:type="auto"/>
            <w:tcBorders>
              <w:bottom w:val="single" w:sz="4" w:space="0" w:color="auto"/>
            </w:tcBorders>
            <w:shd w:val="clear" w:color="auto" w:fill="8DB3E2" w:themeFill="text2" w:themeFillTint="66"/>
            <w:vAlign w:val="center"/>
          </w:tcPr>
          <w:p w:rsidR="006E2DCE" w:rsidRPr="00F05FF5" w:rsidRDefault="006E2DCE" w:rsidP="00B206B3">
            <w:pPr>
              <w:jc w:val="center"/>
              <w:rPr>
                <w:b/>
                <w:sz w:val="24"/>
                <w:szCs w:val="24"/>
                <w:lang w:val="es-CR" w:eastAsia="en-US"/>
              </w:rPr>
            </w:pPr>
            <w:r w:rsidRPr="00F05FF5">
              <w:rPr>
                <w:b/>
                <w:sz w:val="24"/>
                <w:szCs w:val="24"/>
                <w:lang w:val="es-CR" w:eastAsia="en-US"/>
              </w:rPr>
              <w:t>Enunciado de la Observación</w:t>
            </w:r>
          </w:p>
        </w:tc>
        <w:tc>
          <w:tcPr>
            <w:tcW w:w="0" w:type="auto"/>
            <w:tcBorders>
              <w:bottom w:val="single" w:sz="4" w:space="0" w:color="auto"/>
            </w:tcBorders>
            <w:shd w:val="clear" w:color="auto" w:fill="8DB3E2" w:themeFill="text2" w:themeFillTint="66"/>
            <w:vAlign w:val="center"/>
          </w:tcPr>
          <w:p w:rsidR="006E2DCE" w:rsidRPr="00F05FF5" w:rsidRDefault="006E2DCE" w:rsidP="00B206B3">
            <w:pPr>
              <w:jc w:val="center"/>
              <w:rPr>
                <w:b/>
                <w:sz w:val="24"/>
                <w:szCs w:val="24"/>
                <w:lang w:val="es-CR" w:eastAsia="en-US"/>
              </w:rPr>
            </w:pPr>
            <w:r w:rsidRPr="00F05FF5">
              <w:rPr>
                <w:b/>
                <w:sz w:val="24"/>
                <w:szCs w:val="24"/>
                <w:lang w:val="es-CR" w:eastAsia="en-US"/>
              </w:rPr>
              <w:t>Aceptación o Rechazo</w:t>
            </w:r>
          </w:p>
        </w:tc>
        <w:tc>
          <w:tcPr>
            <w:tcW w:w="0" w:type="auto"/>
            <w:tcBorders>
              <w:bottom w:val="single" w:sz="4" w:space="0" w:color="auto"/>
            </w:tcBorders>
            <w:shd w:val="clear" w:color="auto" w:fill="8DB3E2" w:themeFill="text2" w:themeFillTint="66"/>
            <w:vAlign w:val="center"/>
          </w:tcPr>
          <w:p w:rsidR="006E2DCE" w:rsidRPr="00F05FF5" w:rsidRDefault="006E2DCE" w:rsidP="00B206B3">
            <w:pPr>
              <w:jc w:val="center"/>
              <w:rPr>
                <w:b/>
                <w:sz w:val="24"/>
                <w:szCs w:val="24"/>
                <w:lang w:val="es-CR" w:eastAsia="en-US"/>
              </w:rPr>
            </w:pPr>
            <w:r w:rsidRPr="00F05FF5">
              <w:rPr>
                <w:b/>
                <w:sz w:val="24"/>
                <w:szCs w:val="24"/>
                <w:lang w:val="es-CR" w:eastAsia="en-US"/>
              </w:rPr>
              <w:t>Justificación del Rechazo</w:t>
            </w:r>
          </w:p>
        </w:tc>
      </w:tr>
      <w:tr w:rsidR="00F05FF5" w:rsidRPr="00F05FF5" w:rsidTr="00F60993">
        <w:tc>
          <w:tcPr>
            <w:tcW w:w="0" w:type="auto"/>
            <w:tcBorders>
              <w:bottom w:val="single" w:sz="4" w:space="0" w:color="auto"/>
            </w:tcBorders>
            <w:shd w:val="clear" w:color="auto" w:fill="auto"/>
            <w:vAlign w:val="center"/>
          </w:tcPr>
          <w:p w:rsidR="00E528CA" w:rsidRPr="00F05FF5" w:rsidRDefault="00290673" w:rsidP="00B206B3">
            <w:pPr>
              <w:jc w:val="center"/>
              <w:rPr>
                <w:b/>
                <w:sz w:val="24"/>
                <w:szCs w:val="24"/>
                <w:lang w:val="es-CR" w:eastAsia="en-US"/>
              </w:rPr>
            </w:pPr>
            <w:r w:rsidRPr="00F05FF5">
              <w:rPr>
                <w:b/>
                <w:sz w:val="24"/>
                <w:szCs w:val="24"/>
                <w:lang w:val="es-CR" w:eastAsia="en-US"/>
              </w:rPr>
              <w:t>Panamá</w:t>
            </w:r>
          </w:p>
        </w:tc>
        <w:tc>
          <w:tcPr>
            <w:tcW w:w="0" w:type="auto"/>
            <w:tcBorders>
              <w:bottom w:val="single" w:sz="4" w:space="0" w:color="auto"/>
            </w:tcBorders>
            <w:shd w:val="clear" w:color="auto" w:fill="auto"/>
            <w:vAlign w:val="center"/>
          </w:tcPr>
          <w:p w:rsidR="00E528CA" w:rsidRPr="00F05FF5" w:rsidRDefault="00E528CA" w:rsidP="00B206B3">
            <w:pPr>
              <w:jc w:val="center"/>
              <w:rPr>
                <w:b/>
                <w:sz w:val="24"/>
                <w:szCs w:val="24"/>
                <w:lang w:val="es-CR" w:eastAsia="en-US"/>
              </w:rPr>
            </w:pPr>
          </w:p>
        </w:tc>
        <w:tc>
          <w:tcPr>
            <w:tcW w:w="0" w:type="auto"/>
            <w:tcBorders>
              <w:bottom w:val="single" w:sz="4" w:space="0" w:color="auto"/>
            </w:tcBorders>
            <w:shd w:val="clear" w:color="auto" w:fill="auto"/>
            <w:vAlign w:val="center"/>
          </w:tcPr>
          <w:p w:rsidR="00673CBB" w:rsidRPr="00F05FF5" w:rsidRDefault="00673CBB" w:rsidP="00673CBB">
            <w:pPr>
              <w:jc w:val="both"/>
              <w:rPr>
                <w:b/>
                <w:sz w:val="24"/>
                <w:szCs w:val="24"/>
              </w:rPr>
            </w:pPr>
            <w:r w:rsidRPr="00F05FF5">
              <w:rPr>
                <w:b/>
                <w:sz w:val="24"/>
                <w:szCs w:val="24"/>
              </w:rPr>
              <w:t>5. Etiquetado Obligatorio</w:t>
            </w:r>
          </w:p>
          <w:p w:rsidR="00E528CA" w:rsidRPr="00F05FF5" w:rsidRDefault="00673CBB" w:rsidP="00673CBB">
            <w:pPr>
              <w:jc w:val="both"/>
              <w:rPr>
                <w:sz w:val="24"/>
                <w:szCs w:val="24"/>
                <w:lang w:val="es-CR" w:eastAsia="en-US"/>
              </w:rPr>
            </w:pPr>
            <w:r w:rsidRPr="00F05FF5">
              <w:rPr>
                <w:sz w:val="24"/>
                <w:szCs w:val="24"/>
              </w:rPr>
              <w:t>b.2) Para los productos importados deberán indicarse el nombre y la dirección del importador o distribuidor del producto objeto de este Reglamento</w:t>
            </w:r>
            <w:r w:rsidRPr="00F05FF5">
              <w:rPr>
                <w:sz w:val="24"/>
                <w:szCs w:val="24"/>
                <w:lang w:val="es-CR" w:eastAsia="en-US"/>
              </w:rPr>
              <w:t xml:space="preserve"> </w:t>
            </w:r>
            <w:r w:rsidR="00E528CA" w:rsidRPr="00F05FF5">
              <w:rPr>
                <w:sz w:val="24"/>
                <w:szCs w:val="24"/>
                <w:lang w:val="es-CR" w:eastAsia="en-US"/>
              </w:rPr>
              <w:t>El Comité Técnico acordó la inclusión de la siguiente expresión:</w:t>
            </w:r>
          </w:p>
          <w:p w:rsidR="00673CBB" w:rsidRPr="00F05FF5" w:rsidRDefault="00673CBB" w:rsidP="00673CBB">
            <w:pPr>
              <w:jc w:val="both"/>
              <w:rPr>
                <w:sz w:val="24"/>
                <w:szCs w:val="24"/>
                <w:lang w:val="es-CR" w:eastAsia="en-US"/>
              </w:rPr>
            </w:pPr>
          </w:p>
          <w:p w:rsidR="00673CBB" w:rsidRPr="00F05FF5" w:rsidRDefault="00E528CA" w:rsidP="00673CBB">
            <w:pPr>
              <w:jc w:val="both"/>
              <w:rPr>
                <w:sz w:val="24"/>
                <w:szCs w:val="24"/>
              </w:rPr>
            </w:pPr>
            <w:r w:rsidRPr="00F05FF5">
              <w:rPr>
                <w:sz w:val="24"/>
                <w:szCs w:val="24"/>
                <w:lang w:val="es-CR" w:eastAsia="en-US"/>
              </w:rPr>
              <w:t xml:space="preserve">Para los productos importados deberán indicarse el nombre y la dirección del importador o distribuidor </w:t>
            </w:r>
            <w:r w:rsidRPr="00F05FF5">
              <w:rPr>
                <w:b/>
                <w:color w:val="FF0000"/>
                <w:sz w:val="24"/>
                <w:szCs w:val="24"/>
                <w:lang w:val="es-CR" w:eastAsia="en-US"/>
              </w:rPr>
              <w:t xml:space="preserve">final </w:t>
            </w:r>
            <w:r w:rsidRPr="00F05FF5">
              <w:rPr>
                <w:sz w:val="24"/>
                <w:szCs w:val="24"/>
                <w:lang w:val="es-CR" w:eastAsia="en-US"/>
              </w:rPr>
              <w:t>del producto objeto de este Reglamento</w:t>
            </w:r>
            <w:r w:rsidRPr="00F05FF5">
              <w:rPr>
                <w:sz w:val="24"/>
                <w:szCs w:val="24"/>
              </w:rPr>
              <w:t xml:space="preserve"> </w:t>
            </w:r>
          </w:p>
          <w:p w:rsidR="00673CBB" w:rsidRPr="00F05FF5" w:rsidRDefault="00673CBB" w:rsidP="00673CBB">
            <w:pPr>
              <w:jc w:val="both"/>
              <w:rPr>
                <w:sz w:val="24"/>
                <w:szCs w:val="24"/>
              </w:rPr>
            </w:pPr>
          </w:p>
          <w:p w:rsidR="00673CBB" w:rsidRPr="00F05FF5" w:rsidRDefault="00673CBB" w:rsidP="00673CBB">
            <w:pPr>
              <w:jc w:val="both"/>
              <w:rPr>
                <w:sz w:val="24"/>
                <w:szCs w:val="24"/>
              </w:rPr>
            </w:pPr>
            <w:r w:rsidRPr="00F05FF5">
              <w:rPr>
                <w:sz w:val="24"/>
                <w:szCs w:val="24"/>
              </w:rPr>
              <w:t>Base Legal o Técnico</w:t>
            </w:r>
          </w:p>
          <w:p w:rsidR="00E528CA" w:rsidRPr="00F05FF5" w:rsidRDefault="00E528CA" w:rsidP="00673CBB">
            <w:pPr>
              <w:jc w:val="both"/>
              <w:rPr>
                <w:sz w:val="24"/>
                <w:szCs w:val="24"/>
              </w:rPr>
            </w:pPr>
            <w:r w:rsidRPr="00F05FF5">
              <w:rPr>
                <w:sz w:val="24"/>
                <w:szCs w:val="24"/>
              </w:rPr>
              <w:t>El consumidor trata directamente con el distribuid</w:t>
            </w:r>
            <w:bookmarkStart w:id="0" w:name="_GoBack"/>
            <w:bookmarkEnd w:id="0"/>
            <w:r w:rsidRPr="00F05FF5">
              <w:rPr>
                <w:sz w:val="24"/>
                <w:szCs w:val="24"/>
              </w:rPr>
              <w:t>or final.</w:t>
            </w:r>
          </w:p>
          <w:p w:rsidR="00E528CA" w:rsidRPr="00F05FF5" w:rsidRDefault="00E528CA" w:rsidP="00E528CA">
            <w:pPr>
              <w:jc w:val="both"/>
              <w:rPr>
                <w:b/>
                <w:sz w:val="24"/>
                <w:szCs w:val="24"/>
                <w:lang w:val="es-CR" w:eastAsia="en-US"/>
              </w:rPr>
            </w:pPr>
            <w:r w:rsidRPr="00F05FF5">
              <w:rPr>
                <w:sz w:val="24"/>
                <w:szCs w:val="24"/>
              </w:rPr>
              <w:t>Se trata de proteger el sistema de comercialización que tenemos</w:t>
            </w:r>
          </w:p>
        </w:tc>
        <w:tc>
          <w:tcPr>
            <w:tcW w:w="0" w:type="auto"/>
            <w:tcBorders>
              <w:bottom w:val="single" w:sz="4" w:space="0" w:color="auto"/>
            </w:tcBorders>
            <w:shd w:val="clear" w:color="auto" w:fill="auto"/>
            <w:vAlign w:val="center"/>
          </w:tcPr>
          <w:p w:rsidR="00E528CA" w:rsidRPr="00F05FF5" w:rsidRDefault="00E528CA" w:rsidP="00B206B3">
            <w:pPr>
              <w:jc w:val="center"/>
              <w:rPr>
                <w:sz w:val="24"/>
                <w:szCs w:val="24"/>
                <w:lang w:val="es-CR" w:eastAsia="en-US"/>
              </w:rPr>
            </w:pPr>
          </w:p>
        </w:tc>
        <w:tc>
          <w:tcPr>
            <w:tcW w:w="0" w:type="auto"/>
            <w:tcBorders>
              <w:bottom w:val="single" w:sz="4" w:space="0" w:color="auto"/>
            </w:tcBorders>
            <w:shd w:val="clear" w:color="auto" w:fill="auto"/>
            <w:vAlign w:val="center"/>
          </w:tcPr>
          <w:p w:rsidR="00E528CA" w:rsidRPr="00F05FF5" w:rsidRDefault="00E528CA" w:rsidP="00B206B3">
            <w:pPr>
              <w:jc w:val="center"/>
              <w:rPr>
                <w:b/>
                <w:sz w:val="24"/>
                <w:szCs w:val="24"/>
                <w:lang w:val="es-CR" w:eastAsia="en-US"/>
              </w:rPr>
            </w:pPr>
          </w:p>
        </w:tc>
      </w:tr>
      <w:tr w:rsidR="00F03E14" w:rsidRPr="00F05FF5" w:rsidTr="00F60993">
        <w:tc>
          <w:tcPr>
            <w:tcW w:w="0" w:type="auto"/>
            <w:shd w:val="clear" w:color="auto" w:fill="92D050"/>
            <w:vAlign w:val="center"/>
          </w:tcPr>
          <w:p w:rsidR="00E528CA" w:rsidRPr="00F05FF5" w:rsidRDefault="00E528CA" w:rsidP="00B206B3">
            <w:pPr>
              <w:jc w:val="center"/>
              <w:rPr>
                <w:b/>
                <w:sz w:val="24"/>
                <w:szCs w:val="24"/>
                <w:lang w:val="es-CR" w:eastAsia="en-US"/>
              </w:rPr>
            </w:pPr>
          </w:p>
        </w:tc>
        <w:tc>
          <w:tcPr>
            <w:tcW w:w="0" w:type="auto"/>
            <w:shd w:val="clear" w:color="auto" w:fill="92D050"/>
            <w:vAlign w:val="center"/>
          </w:tcPr>
          <w:p w:rsidR="00E528CA" w:rsidRPr="00F05FF5" w:rsidRDefault="00E528CA" w:rsidP="00B206B3">
            <w:pPr>
              <w:jc w:val="center"/>
              <w:rPr>
                <w:b/>
                <w:sz w:val="24"/>
                <w:szCs w:val="24"/>
                <w:lang w:val="es-CR" w:eastAsia="en-US"/>
              </w:rPr>
            </w:pPr>
          </w:p>
        </w:tc>
        <w:tc>
          <w:tcPr>
            <w:tcW w:w="0" w:type="auto"/>
            <w:shd w:val="clear" w:color="auto" w:fill="92D050"/>
            <w:vAlign w:val="center"/>
          </w:tcPr>
          <w:p w:rsidR="00E528CA" w:rsidRPr="00F05FF5" w:rsidRDefault="00E528CA" w:rsidP="00B206B3">
            <w:pPr>
              <w:jc w:val="center"/>
              <w:rPr>
                <w:b/>
                <w:sz w:val="24"/>
                <w:szCs w:val="24"/>
                <w:lang w:val="es-CR" w:eastAsia="en-US"/>
              </w:rPr>
            </w:pPr>
          </w:p>
        </w:tc>
        <w:tc>
          <w:tcPr>
            <w:tcW w:w="0" w:type="auto"/>
            <w:shd w:val="clear" w:color="auto" w:fill="92D050"/>
            <w:vAlign w:val="center"/>
          </w:tcPr>
          <w:p w:rsidR="00E528CA" w:rsidRPr="00F05FF5" w:rsidRDefault="00E528CA" w:rsidP="00B206B3">
            <w:pPr>
              <w:jc w:val="center"/>
              <w:rPr>
                <w:sz w:val="24"/>
                <w:szCs w:val="24"/>
                <w:lang w:val="es-CR" w:eastAsia="en-US"/>
              </w:rPr>
            </w:pPr>
          </w:p>
        </w:tc>
        <w:tc>
          <w:tcPr>
            <w:tcW w:w="0" w:type="auto"/>
            <w:shd w:val="clear" w:color="auto" w:fill="92D050"/>
            <w:vAlign w:val="center"/>
          </w:tcPr>
          <w:p w:rsidR="00E528CA" w:rsidRPr="00F05FF5" w:rsidRDefault="00E528CA" w:rsidP="00B206B3">
            <w:pPr>
              <w:jc w:val="center"/>
              <w:rPr>
                <w:b/>
                <w:sz w:val="24"/>
                <w:szCs w:val="24"/>
                <w:lang w:val="es-CR" w:eastAsia="en-US"/>
              </w:rPr>
            </w:pPr>
          </w:p>
        </w:tc>
      </w:tr>
      <w:tr w:rsidR="00F03E14" w:rsidRPr="00F05FF5" w:rsidTr="00E528CA">
        <w:tc>
          <w:tcPr>
            <w:tcW w:w="0" w:type="auto"/>
            <w:shd w:val="clear" w:color="auto" w:fill="auto"/>
            <w:vAlign w:val="center"/>
          </w:tcPr>
          <w:p w:rsidR="00E528CA" w:rsidRPr="00F05FF5" w:rsidRDefault="00F60993" w:rsidP="00E528CA">
            <w:pPr>
              <w:rPr>
                <w:b/>
                <w:sz w:val="24"/>
                <w:szCs w:val="24"/>
                <w:lang w:val="es-CR" w:eastAsia="en-US"/>
              </w:rPr>
            </w:pPr>
            <w:r w:rsidRPr="00F05FF5">
              <w:rPr>
                <w:b/>
                <w:sz w:val="24"/>
                <w:szCs w:val="24"/>
                <w:lang w:val="es-CR" w:eastAsia="en-US"/>
              </w:rPr>
              <w:t xml:space="preserve">SV, NI y CR, </w:t>
            </w:r>
          </w:p>
        </w:tc>
        <w:tc>
          <w:tcPr>
            <w:tcW w:w="0" w:type="auto"/>
            <w:shd w:val="clear" w:color="auto" w:fill="auto"/>
            <w:vAlign w:val="center"/>
          </w:tcPr>
          <w:p w:rsidR="00E528CA" w:rsidRPr="00F05FF5" w:rsidRDefault="00F60993" w:rsidP="00F60993">
            <w:pPr>
              <w:rPr>
                <w:b/>
                <w:sz w:val="24"/>
                <w:szCs w:val="24"/>
                <w:lang w:val="es-CR" w:eastAsia="en-US"/>
              </w:rPr>
            </w:pPr>
            <w:r w:rsidRPr="00F05FF5">
              <w:rPr>
                <w:b/>
                <w:sz w:val="24"/>
                <w:szCs w:val="24"/>
                <w:lang w:val="es-CR" w:eastAsia="en-US"/>
              </w:rPr>
              <w:t>UE</w:t>
            </w:r>
          </w:p>
        </w:tc>
        <w:tc>
          <w:tcPr>
            <w:tcW w:w="0" w:type="auto"/>
            <w:shd w:val="clear" w:color="auto" w:fill="auto"/>
            <w:vAlign w:val="center"/>
          </w:tcPr>
          <w:p w:rsidR="00673CBB" w:rsidRPr="00F05FF5" w:rsidRDefault="00673CBB" w:rsidP="00673CBB">
            <w:pPr>
              <w:jc w:val="both"/>
              <w:rPr>
                <w:sz w:val="24"/>
                <w:szCs w:val="24"/>
                <w:lang w:val="en-US" w:eastAsia="en-US"/>
              </w:rPr>
            </w:pPr>
            <w:r w:rsidRPr="00F05FF5">
              <w:rPr>
                <w:sz w:val="24"/>
                <w:szCs w:val="24"/>
                <w:lang w:val="en-US" w:eastAsia="en-US"/>
              </w:rPr>
              <w:t xml:space="preserve">The European Union (EU) would like to thank the Salvadorian authorities for notifying the above-mentioned technical regulation. The EU welcomes the intention of </w:t>
            </w:r>
            <w:proofErr w:type="spellStart"/>
            <w:r w:rsidRPr="00F05FF5">
              <w:rPr>
                <w:sz w:val="24"/>
                <w:szCs w:val="24"/>
                <w:lang w:val="en-US" w:eastAsia="en-US"/>
              </w:rPr>
              <w:t>harmonising</w:t>
            </w:r>
            <w:proofErr w:type="spellEnd"/>
            <w:r w:rsidRPr="00F05FF5">
              <w:rPr>
                <w:sz w:val="24"/>
                <w:szCs w:val="24"/>
                <w:lang w:val="en-US" w:eastAsia="en-US"/>
              </w:rPr>
              <w:t xml:space="preserve"> footwear </w:t>
            </w:r>
            <w:proofErr w:type="spellStart"/>
            <w:r w:rsidRPr="00F05FF5">
              <w:rPr>
                <w:sz w:val="24"/>
                <w:szCs w:val="24"/>
                <w:lang w:val="en-US" w:eastAsia="en-US"/>
              </w:rPr>
              <w:t>labelling</w:t>
            </w:r>
            <w:proofErr w:type="spellEnd"/>
            <w:r w:rsidRPr="00F05FF5">
              <w:rPr>
                <w:sz w:val="24"/>
                <w:szCs w:val="24"/>
                <w:lang w:val="en-US" w:eastAsia="en-US"/>
              </w:rPr>
              <w:t xml:space="preserve"> rules for Central American countries as a positive development. The EU also welcomes that the proposed common rules are to a wide</w:t>
            </w:r>
          </w:p>
          <w:p w:rsidR="00673CBB" w:rsidRPr="00F05FF5" w:rsidRDefault="00673CBB" w:rsidP="00673CBB">
            <w:pPr>
              <w:jc w:val="both"/>
              <w:rPr>
                <w:sz w:val="24"/>
                <w:szCs w:val="24"/>
                <w:lang w:val="en-US" w:eastAsia="en-US"/>
              </w:rPr>
            </w:pPr>
            <w:proofErr w:type="gramStart"/>
            <w:r w:rsidRPr="00F05FF5">
              <w:rPr>
                <w:sz w:val="24"/>
                <w:szCs w:val="24"/>
                <w:lang w:val="en-US" w:eastAsia="en-US"/>
              </w:rPr>
              <w:t>extent</w:t>
            </w:r>
            <w:proofErr w:type="gramEnd"/>
            <w:r w:rsidRPr="00F05FF5">
              <w:rPr>
                <w:sz w:val="24"/>
                <w:szCs w:val="24"/>
                <w:lang w:val="en-US" w:eastAsia="en-US"/>
              </w:rPr>
              <w:t xml:space="preserve"> based on the European footwear </w:t>
            </w:r>
            <w:proofErr w:type="spellStart"/>
            <w:r w:rsidRPr="00F05FF5">
              <w:rPr>
                <w:sz w:val="24"/>
                <w:szCs w:val="24"/>
                <w:lang w:val="en-US" w:eastAsia="en-US"/>
              </w:rPr>
              <w:t>labelling</w:t>
            </w:r>
            <w:proofErr w:type="spellEnd"/>
            <w:r w:rsidRPr="00F05FF5">
              <w:rPr>
                <w:sz w:val="24"/>
                <w:szCs w:val="24"/>
                <w:lang w:val="en-US" w:eastAsia="en-US"/>
              </w:rPr>
              <w:t xml:space="preserve"> rules (Directive 94/11/EC). However, the EU wishes to raise the following issues and questions in relation to this notification:</w:t>
            </w:r>
          </w:p>
          <w:p w:rsidR="00673CBB" w:rsidRPr="00F05FF5" w:rsidRDefault="00673CBB" w:rsidP="00673CBB">
            <w:pPr>
              <w:jc w:val="both"/>
              <w:rPr>
                <w:sz w:val="24"/>
                <w:szCs w:val="24"/>
                <w:lang w:val="en-US" w:eastAsia="en-US"/>
              </w:rPr>
            </w:pPr>
          </w:p>
          <w:p w:rsidR="00673CBB" w:rsidRPr="00F05FF5" w:rsidRDefault="00673CBB" w:rsidP="00673CBB">
            <w:pPr>
              <w:jc w:val="both"/>
              <w:rPr>
                <w:b/>
                <w:sz w:val="24"/>
                <w:szCs w:val="24"/>
                <w:lang w:val="en-US" w:eastAsia="en-US"/>
              </w:rPr>
            </w:pPr>
            <w:r w:rsidRPr="00F05FF5">
              <w:rPr>
                <w:b/>
                <w:sz w:val="24"/>
                <w:szCs w:val="24"/>
                <w:lang w:val="en-US" w:eastAsia="en-US"/>
              </w:rPr>
              <w:t>1. Scope</w:t>
            </w:r>
          </w:p>
          <w:p w:rsidR="00673CBB" w:rsidRPr="00F05FF5" w:rsidRDefault="00673CBB" w:rsidP="00673CBB">
            <w:pPr>
              <w:jc w:val="both"/>
              <w:rPr>
                <w:sz w:val="24"/>
                <w:szCs w:val="24"/>
                <w:lang w:val="en-US" w:eastAsia="en-US"/>
              </w:rPr>
            </w:pPr>
            <w:r w:rsidRPr="00F05FF5">
              <w:rPr>
                <w:sz w:val="24"/>
                <w:szCs w:val="24"/>
                <w:lang w:val="en-US" w:eastAsia="en-US"/>
              </w:rPr>
              <w:t>According to the notification form the objective of the draft technical regulation is to inform consumers. This implies that on the basis of the necessary elements of information the consumer can then take an informed purchasing decision.</w:t>
            </w:r>
          </w:p>
          <w:p w:rsidR="00673CBB" w:rsidRPr="00F05FF5" w:rsidRDefault="00673CBB" w:rsidP="00673CBB">
            <w:pPr>
              <w:jc w:val="both"/>
              <w:rPr>
                <w:sz w:val="24"/>
                <w:szCs w:val="24"/>
                <w:lang w:val="en-US" w:eastAsia="en-US"/>
              </w:rPr>
            </w:pPr>
          </w:p>
          <w:p w:rsidR="00673CBB" w:rsidRPr="00F05FF5" w:rsidRDefault="00673CBB" w:rsidP="00673CBB">
            <w:pPr>
              <w:jc w:val="both"/>
              <w:rPr>
                <w:sz w:val="24"/>
                <w:szCs w:val="24"/>
                <w:lang w:val="en-US" w:eastAsia="en-US"/>
              </w:rPr>
            </w:pPr>
            <w:r w:rsidRPr="00F05FF5">
              <w:rPr>
                <w:sz w:val="24"/>
                <w:szCs w:val="24"/>
                <w:lang w:val="en-US" w:eastAsia="en-US"/>
              </w:rPr>
              <w:t xml:space="preserve">However, it appears from Article 2 that not only footwear, but also parts of footwear "when sold separately" are covered by the notified proposal. The table in Annex 1 specifies the scope of the draft measure, including what is covered under code 64.06 (Parts of footwear (including uppers whether or </w:t>
            </w:r>
            <w:r w:rsidRPr="00F05FF5">
              <w:rPr>
                <w:sz w:val="24"/>
                <w:szCs w:val="24"/>
                <w:lang w:val="en-US" w:eastAsia="en-US"/>
              </w:rPr>
              <w:lastRenderedPageBreak/>
              <w:t>not attached to soles other than outer soles); removable in-soles, heel cushions and similar articles;</w:t>
            </w:r>
          </w:p>
          <w:p w:rsidR="00673CBB" w:rsidRPr="00F05FF5" w:rsidRDefault="00673CBB" w:rsidP="00673CBB">
            <w:pPr>
              <w:jc w:val="both"/>
              <w:rPr>
                <w:sz w:val="24"/>
                <w:szCs w:val="24"/>
                <w:lang w:val="en-US" w:eastAsia="en-US"/>
              </w:rPr>
            </w:pPr>
            <w:proofErr w:type="gramStart"/>
            <w:r w:rsidRPr="00F05FF5">
              <w:rPr>
                <w:sz w:val="24"/>
                <w:szCs w:val="24"/>
                <w:lang w:val="en-US" w:eastAsia="en-US"/>
              </w:rPr>
              <w:t>gaiters</w:t>
            </w:r>
            <w:proofErr w:type="gramEnd"/>
            <w:r w:rsidRPr="00F05FF5">
              <w:rPr>
                <w:sz w:val="24"/>
                <w:szCs w:val="24"/>
                <w:lang w:val="en-US" w:eastAsia="en-US"/>
              </w:rPr>
              <w:t>, leggings and similar articles, and parts thereof).</w:t>
            </w:r>
          </w:p>
          <w:p w:rsidR="00673CBB" w:rsidRPr="00F05FF5" w:rsidRDefault="00673CBB" w:rsidP="00673CBB">
            <w:pPr>
              <w:jc w:val="both"/>
              <w:rPr>
                <w:sz w:val="24"/>
                <w:szCs w:val="24"/>
                <w:lang w:val="en-US" w:eastAsia="en-US"/>
              </w:rPr>
            </w:pPr>
          </w:p>
          <w:p w:rsidR="00E528CA" w:rsidRPr="00F05FF5" w:rsidRDefault="00673CBB" w:rsidP="00EA3F57">
            <w:pPr>
              <w:jc w:val="both"/>
              <w:rPr>
                <w:sz w:val="24"/>
                <w:szCs w:val="24"/>
                <w:lang w:val="en-US" w:eastAsia="en-US"/>
              </w:rPr>
            </w:pPr>
            <w:r w:rsidRPr="00F05FF5">
              <w:rPr>
                <w:sz w:val="24"/>
                <w:szCs w:val="24"/>
                <w:lang w:val="en-US" w:eastAsia="en-US"/>
              </w:rPr>
              <w:t xml:space="preserve">While </w:t>
            </w:r>
            <w:proofErr w:type="spellStart"/>
            <w:r w:rsidRPr="00F05FF5">
              <w:rPr>
                <w:sz w:val="24"/>
                <w:szCs w:val="24"/>
                <w:lang w:val="en-US" w:eastAsia="en-US"/>
              </w:rPr>
              <w:t>labelling</w:t>
            </w:r>
            <w:proofErr w:type="spellEnd"/>
            <w:r w:rsidRPr="00F05FF5">
              <w:rPr>
                <w:sz w:val="24"/>
                <w:szCs w:val="24"/>
                <w:lang w:val="en-US" w:eastAsia="en-US"/>
              </w:rPr>
              <w:t xml:space="preserve"> of consumer goods is a good and common practice, </w:t>
            </w:r>
            <w:proofErr w:type="spellStart"/>
            <w:r w:rsidRPr="00F05FF5">
              <w:rPr>
                <w:sz w:val="24"/>
                <w:szCs w:val="24"/>
                <w:lang w:val="en-US" w:eastAsia="en-US"/>
              </w:rPr>
              <w:t>labelling</w:t>
            </w:r>
            <w:proofErr w:type="spellEnd"/>
            <w:r w:rsidRPr="00F05FF5">
              <w:rPr>
                <w:sz w:val="24"/>
                <w:szCs w:val="24"/>
                <w:lang w:val="en-US" w:eastAsia="en-US"/>
              </w:rPr>
              <w:t xml:space="preserve"> of intermediate industrial goods makes less sense. In "business to business" relationships, such as in the trade in parts of footwear covered by code 64.06,</w:t>
            </w:r>
            <w:r w:rsidR="00EA3F57" w:rsidRPr="00F05FF5">
              <w:rPr>
                <w:sz w:val="24"/>
                <w:szCs w:val="24"/>
                <w:lang w:val="en-US" w:eastAsia="en-US"/>
              </w:rPr>
              <w:t xml:space="preserve"> </w:t>
            </w:r>
            <w:r w:rsidRPr="00F05FF5">
              <w:rPr>
                <w:sz w:val="24"/>
                <w:szCs w:val="24"/>
                <w:lang w:val="en-US" w:eastAsia="en-US"/>
              </w:rPr>
              <w:t xml:space="preserve">economic operators can rely on more comprehensive commercial documentation than on </w:t>
            </w:r>
            <w:proofErr w:type="spellStart"/>
            <w:r w:rsidRPr="00F05FF5">
              <w:rPr>
                <w:sz w:val="24"/>
                <w:szCs w:val="24"/>
                <w:lang w:val="en-US" w:eastAsia="en-US"/>
              </w:rPr>
              <w:t>labelling</w:t>
            </w:r>
            <w:proofErr w:type="spellEnd"/>
            <w:r w:rsidRPr="00F05FF5">
              <w:rPr>
                <w:sz w:val="24"/>
                <w:szCs w:val="24"/>
                <w:lang w:val="en-US" w:eastAsia="en-US"/>
              </w:rPr>
              <w:t xml:space="preserve">. Thus, </w:t>
            </w:r>
            <w:proofErr w:type="spellStart"/>
            <w:r w:rsidRPr="00F05FF5">
              <w:rPr>
                <w:sz w:val="24"/>
                <w:szCs w:val="24"/>
                <w:lang w:val="en-US" w:eastAsia="en-US"/>
              </w:rPr>
              <w:t>labelling</w:t>
            </w:r>
            <w:proofErr w:type="spellEnd"/>
            <w:r w:rsidRPr="00F05FF5">
              <w:rPr>
                <w:sz w:val="24"/>
                <w:szCs w:val="24"/>
                <w:lang w:val="en-US" w:eastAsia="en-US"/>
              </w:rPr>
              <w:t xml:space="preserve"> of footwear parts covered by code 64.06 would produce unnecessary costs without bringing any additional advantage for consumers. In addition, the draft proposal does not include any specifications on how to label footwear parts covered by code 64.06 in practice.</w:t>
            </w:r>
          </w:p>
        </w:tc>
        <w:tc>
          <w:tcPr>
            <w:tcW w:w="0" w:type="auto"/>
            <w:shd w:val="clear" w:color="auto" w:fill="auto"/>
            <w:vAlign w:val="center"/>
          </w:tcPr>
          <w:p w:rsidR="00E528CA" w:rsidRPr="00F05FF5" w:rsidRDefault="00E528CA" w:rsidP="00290673">
            <w:pPr>
              <w:jc w:val="both"/>
              <w:rPr>
                <w:sz w:val="24"/>
                <w:szCs w:val="24"/>
                <w:lang w:val="es-CR" w:eastAsia="en-US"/>
              </w:rPr>
            </w:pPr>
          </w:p>
        </w:tc>
        <w:tc>
          <w:tcPr>
            <w:tcW w:w="0" w:type="auto"/>
            <w:shd w:val="clear" w:color="auto" w:fill="auto"/>
            <w:vAlign w:val="center"/>
          </w:tcPr>
          <w:p w:rsidR="00E528CA" w:rsidRPr="00F05FF5" w:rsidRDefault="00E528CA" w:rsidP="00B206B3">
            <w:pPr>
              <w:jc w:val="center"/>
              <w:rPr>
                <w:b/>
                <w:sz w:val="24"/>
                <w:szCs w:val="24"/>
                <w:lang w:val="es-CR" w:eastAsia="en-US"/>
              </w:rPr>
            </w:pPr>
          </w:p>
        </w:tc>
      </w:tr>
      <w:tr w:rsidR="00492F0A" w:rsidRPr="00F05FF5" w:rsidTr="00E528CA">
        <w:tc>
          <w:tcPr>
            <w:tcW w:w="0" w:type="auto"/>
            <w:shd w:val="clear" w:color="auto" w:fill="auto"/>
            <w:vAlign w:val="center"/>
          </w:tcPr>
          <w:p w:rsidR="00673CBB" w:rsidRPr="00F05FF5" w:rsidRDefault="00673CBB" w:rsidP="00E528CA">
            <w:pPr>
              <w:rPr>
                <w:b/>
                <w:sz w:val="24"/>
                <w:szCs w:val="24"/>
                <w:lang w:val="es-CR" w:eastAsia="en-US"/>
              </w:rPr>
            </w:pPr>
          </w:p>
        </w:tc>
        <w:tc>
          <w:tcPr>
            <w:tcW w:w="0" w:type="auto"/>
            <w:shd w:val="clear" w:color="auto" w:fill="auto"/>
            <w:vAlign w:val="center"/>
          </w:tcPr>
          <w:p w:rsidR="00673CBB" w:rsidRPr="00F05FF5" w:rsidRDefault="00673CBB" w:rsidP="00B206B3">
            <w:pPr>
              <w:jc w:val="center"/>
              <w:rPr>
                <w:b/>
                <w:sz w:val="24"/>
                <w:szCs w:val="24"/>
                <w:lang w:val="es-CR" w:eastAsia="en-US"/>
              </w:rPr>
            </w:pPr>
          </w:p>
        </w:tc>
        <w:tc>
          <w:tcPr>
            <w:tcW w:w="0" w:type="auto"/>
            <w:shd w:val="clear" w:color="auto" w:fill="auto"/>
            <w:vAlign w:val="center"/>
          </w:tcPr>
          <w:p w:rsidR="00673CBB" w:rsidRPr="00F05FF5" w:rsidRDefault="00673CBB" w:rsidP="00673CBB">
            <w:pPr>
              <w:jc w:val="both"/>
              <w:rPr>
                <w:b/>
                <w:sz w:val="24"/>
                <w:szCs w:val="24"/>
                <w:lang w:val="en-US" w:eastAsia="en-US"/>
              </w:rPr>
            </w:pPr>
            <w:r w:rsidRPr="00F05FF5">
              <w:rPr>
                <w:b/>
                <w:sz w:val="24"/>
                <w:szCs w:val="24"/>
                <w:lang w:val="en-US" w:eastAsia="en-US"/>
              </w:rPr>
              <w:t>2. Exemptions</w:t>
            </w:r>
          </w:p>
          <w:p w:rsidR="00673CBB" w:rsidRPr="00F05FF5" w:rsidRDefault="00673CBB" w:rsidP="00673CBB">
            <w:pPr>
              <w:jc w:val="both"/>
              <w:rPr>
                <w:sz w:val="24"/>
                <w:szCs w:val="24"/>
                <w:lang w:val="en-US" w:eastAsia="en-US"/>
              </w:rPr>
            </w:pPr>
            <w:r w:rsidRPr="00F05FF5">
              <w:rPr>
                <w:sz w:val="24"/>
                <w:szCs w:val="24"/>
                <w:lang w:val="en-US" w:eastAsia="en-US"/>
              </w:rPr>
              <w:t xml:space="preserve">Article 2 of the notified draft defines the types of footwear which are not to be considered as footwear for the purposes of the notified draft, among which, 'protective footwear (fire resistant)' (Article 2 b). However, protective and safety footwear can have more characteristics than just being fireproof, as shown by a series of ISO standards 20344-20347 in this regard. Therefore, the EU </w:t>
            </w:r>
            <w:proofErr w:type="spellStart"/>
            <w:r w:rsidRPr="00F05FF5">
              <w:rPr>
                <w:sz w:val="24"/>
                <w:szCs w:val="24"/>
                <w:lang w:val="en-US" w:eastAsia="en-US"/>
              </w:rPr>
              <w:t>wouldinvite</w:t>
            </w:r>
            <w:proofErr w:type="spellEnd"/>
            <w:r w:rsidRPr="00F05FF5">
              <w:rPr>
                <w:sz w:val="24"/>
                <w:szCs w:val="24"/>
                <w:lang w:val="en-US" w:eastAsia="en-US"/>
              </w:rPr>
              <w:t xml:space="preserve"> the Salvadorian authorities to consider excluding protective footwear in general and not only fireproof footwear.</w:t>
            </w:r>
          </w:p>
        </w:tc>
        <w:tc>
          <w:tcPr>
            <w:tcW w:w="0" w:type="auto"/>
            <w:shd w:val="clear" w:color="auto" w:fill="auto"/>
            <w:vAlign w:val="center"/>
          </w:tcPr>
          <w:p w:rsidR="00673CBB" w:rsidRPr="00F05FF5" w:rsidRDefault="00673CBB" w:rsidP="00B206B3">
            <w:pPr>
              <w:jc w:val="center"/>
              <w:rPr>
                <w:sz w:val="24"/>
                <w:szCs w:val="24"/>
                <w:lang w:val="en-US" w:eastAsia="en-US"/>
              </w:rPr>
            </w:pPr>
          </w:p>
        </w:tc>
        <w:tc>
          <w:tcPr>
            <w:tcW w:w="0" w:type="auto"/>
            <w:shd w:val="clear" w:color="auto" w:fill="auto"/>
            <w:vAlign w:val="center"/>
          </w:tcPr>
          <w:p w:rsidR="00673CBB" w:rsidRPr="00F05FF5" w:rsidRDefault="00673CBB" w:rsidP="00B206B3">
            <w:pPr>
              <w:jc w:val="center"/>
              <w:rPr>
                <w:b/>
                <w:sz w:val="24"/>
                <w:szCs w:val="24"/>
                <w:lang w:val="en-US" w:eastAsia="en-US"/>
              </w:rPr>
            </w:pPr>
          </w:p>
        </w:tc>
      </w:tr>
      <w:tr w:rsidR="00492F0A" w:rsidRPr="00F05FF5" w:rsidTr="00E528CA">
        <w:tc>
          <w:tcPr>
            <w:tcW w:w="0" w:type="auto"/>
            <w:shd w:val="clear" w:color="auto" w:fill="auto"/>
            <w:vAlign w:val="center"/>
          </w:tcPr>
          <w:p w:rsidR="00673CBB" w:rsidRPr="00F05FF5" w:rsidRDefault="00673CBB" w:rsidP="00E528CA">
            <w:pPr>
              <w:rPr>
                <w:b/>
                <w:sz w:val="24"/>
                <w:szCs w:val="24"/>
                <w:lang w:val="en-US" w:eastAsia="en-US"/>
              </w:rPr>
            </w:pPr>
          </w:p>
        </w:tc>
        <w:tc>
          <w:tcPr>
            <w:tcW w:w="0" w:type="auto"/>
            <w:shd w:val="clear" w:color="auto" w:fill="auto"/>
            <w:vAlign w:val="center"/>
          </w:tcPr>
          <w:p w:rsidR="00673CBB" w:rsidRPr="00F05FF5" w:rsidRDefault="00673CBB" w:rsidP="00B206B3">
            <w:pPr>
              <w:jc w:val="center"/>
              <w:rPr>
                <w:b/>
                <w:sz w:val="24"/>
                <w:szCs w:val="24"/>
                <w:lang w:val="en-US" w:eastAsia="en-US"/>
              </w:rPr>
            </w:pPr>
          </w:p>
        </w:tc>
        <w:tc>
          <w:tcPr>
            <w:tcW w:w="0" w:type="auto"/>
            <w:shd w:val="clear" w:color="auto" w:fill="auto"/>
            <w:vAlign w:val="center"/>
          </w:tcPr>
          <w:p w:rsidR="00673CBB" w:rsidRPr="00F05FF5" w:rsidRDefault="00673CBB" w:rsidP="00F05FF5">
            <w:pPr>
              <w:autoSpaceDE w:val="0"/>
              <w:autoSpaceDN w:val="0"/>
              <w:adjustRightInd w:val="0"/>
              <w:jc w:val="both"/>
              <w:rPr>
                <w:rFonts w:eastAsiaTheme="minorHAnsi"/>
                <w:b/>
                <w:bCs/>
                <w:sz w:val="24"/>
                <w:szCs w:val="24"/>
                <w:lang w:val="en-US" w:eastAsia="en-US"/>
              </w:rPr>
            </w:pPr>
            <w:r w:rsidRPr="00F05FF5">
              <w:rPr>
                <w:rFonts w:eastAsiaTheme="minorHAnsi"/>
                <w:b/>
                <w:bCs/>
                <w:sz w:val="24"/>
                <w:szCs w:val="24"/>
                <w:lang w:val="en-US" w:eastAsia="en-US"/>
              </w:rPr>
              <w:t>3. Definitions</w:t>
            </w:r>
          </w:p>
          <w:p w:rsidR="00673CBB" w:rsidRPr="00F05FF5" w:rsidRDefault="00673CBB" w:rsidP="00F05FF5">
            <w:pPr>
              <w:autoSpaceDE w:val="0"/>
              <w:autoSpaceDN w:val="0"/>
              <w:adjustRightInd w:val="0"/>
              <w:jc w:val="both"/>
              <w:rPr>
                <w:rFonts w:eastAsiaTheme="minorHAnsi"/>
                <w:sz w:val="24"/>
                <w:szCs w:val="24"/>
                <w:lang w:val="en-US" w:eastAsia="en-US"/>
              </w:rPr>
            </w:pPr>
            <w:r w:rsidRPr="00F05FF5">
              <w:rPr>
                <w:rFonts w:eastAsiaTheme="minorHAnsi"/>
                <w:sz w:val="24"/>
                <w:szCs w:val="24"/>
                <w:lang w:val="en-US" w:eastAsia="en-US"/>
              </w:rPr>
              <w:t xml:space="preserve">Although it is obligatory to label the materials of the footwear components according to Article 5.2 and the pictograms for the different materials presented in figure 2, there are no definitions of leather, coated leather, textiles and other materials included in the list of definitions under Article 3. At </w:t>
            </w:r>
            <w:proofErr w:type="gramStart"/>
            <w:r w:rsidRPr="00F05FF5">
              <w:rPr>
                <w:rFonts w:eastAsiaTheme="minorHAnsi"/>
                <w:sz w:val="24"/>
                <w:szCs w:val="24"/>
                <w:lang w:val="en-US" w:eastAsia="en-US"/>
              </w:rPr>
              <w:t>the  same</w:t>
            </w:r>
            <w:proofErr w:type="gramEnd"/>
            <w:r w:rsidRPr="00F05FF5">
              <w:rPr>
                <w:rFonts w:eastAsiaTheme="minorHAnsi"/>
                <w:sz w:val="24"/>
                <w:szCs w:val="24"/>
                <w:lang w:val="en-US" w:eastAsia="en-US"/>
              </w:rPr>
              <w:t xml:space="preserve"> time, Article 6 on market surveillance and control, indicates the competence of national authorities and the primacy of national (internal) legislation.</w:t>
            </w:r>
          </w:p>
          <w:p w:rsidR="00673CBB" w:rsidRPr="00F05FF5" w:rsidRDefault="00673CBB" w:rsidP="00F05FF5">
            <w:pPr>
              <w:autoSpaceDE w:val="0"/>
              <w:autoSpaceDN w:val="0"/>
              <w:adjustRightInd w:val="0"/>
              <w:jc w:val="both"/>
              <w:rPr>
                <w:rFonts w:eastAsiaTheme="minorHAnsi"/>
                <w:sz w:val="24"/>
                <w:szCs w:val="24"/>
                <w:lang w:val="en-US" w:eastAsia="en-US"/>
              </w:rPr>
            </w:pPr>
            <w:r w:rsidRPr="00F05FF5">
              <w:rPr>
                <w:rFonts w:eastAsiaTheme="minorHAnsi"/>
                <w:sz w:val="24"/>
                <w:szCs w:val="24"/>
                <w:lang w:val="en-US" w:eastAsia="en-US"/>
              </w:rPr>
              <w:t>The EU would appreciate further information as to whether this implies that when surveillance authorities are to control conformity of the products marketed in their territory, they will have to refer to national legislation for all those provisions that were not set out in the technical regulation such as the definition of the materials.</w:t>
            </w:r>
          </w:p>
          <w:p w:rsidR="00673CBB" w:rsidRPr="00F05FF5" w:rsidRDefault="00673CBB" w:rsidP="00F05FF5">
            <w:pPr>
              <w:autoSpaceDE w:val="0"/>
              <w:autoSpaceDN w:val="0"/>
              <w:adjustRightInd w:val="0"/>
              <w:jc w:val="both"/>
              <w:rPr>
                <w:rFonts w:eastAsiaTheme="minorHAnsi"/>
                <w:sz w:val="24"/>
                <w:szCs w:val="24"/>
                <w:lang w:val="en-US" w:eastAsia="en-US"/>
              </w:rPr>
            </w:pPr>
            <w:r w:rsidRPr="00F05FF5">
              <w:rPr>
                <w:rFonts w:eastAsiaTheme="minorHAnsi"/>
                <w:sz w:val="24"/>
                <w:szCs w:val="24"/>
                <w:lang w:val="en-US" w:eastAsia="en-US"/>
              </w:rPr>
              <w:t xml:space="preserve">If so, the EU would like to know how it will be ensured that possible legislative divergences in the Central American countries do not result in barriers to the marketing of certain footwear in these countries as a consequence of different national definitions of materials used in footwear. For example this could be the case when footwear that is lawfully </w:t>
            </w:r>
            <w:proofErr w:type="spellStart"/>
            <w:r w:rsidRPr="00F05FF5">
              <w:rPr>
                <w:rFonts w:eastAsiaTheme="minorHAnsi"/>
                <w:sz w:val="24"/>
                <w:szCs w:val="24"/>
                <w:lang w:val="en-US" w:eastAsia="en-US"/>
              </w:rPr>
              <w:t>labelled</w:t>
            </w:r>
            <w:proofErr w:type="spellEnd"/>
            <w:r w:rsidRPr="00F05FF5">
              <w:rPr>
                <w:rFonts w:eastAsiaTheme="minorHAnsi"/>
                <w:sz w:val="24"/>
                <w:szCs w:val="24"/>
                <w:lang w:val="en-US" w:eastAsia="en-US"/>
              </w:rPr>
              <w:t xml:space="preserve"> as leather or as coated leather in one </w:t>
            </w:r>
            <w:r w:rsidRPr="00F05FF5">
              <w:rPr>
                <w:rFonts w:eastAsiaTheme="minorHAnsi"/>
                <w:sz w:val="24"/>
                <w:szCs w:val="24"/>
                <w:lang w:val="en-US" w:eastAsia="en-US"/>
              </w:rPr>
              <w:lastRenderedPageBreak/>
              <w:t xml:space="preserve">country would not </w:t>
            </w:r>
            <w:proofErr w:type="spellStart"/>
            <w:r w:rsidRPr="00F05FF5">
              <w:rPr>
                <w:rFonts w:eastAsiaTheme="minorHAnsi"/>
                <w:sz w:val="24"/>
                <w:szCs w:val="24"/>
                <w:lang w:val="en-US" w:eastAsia="en-US"/>
              </w:rPr>
              <w:t>fulfil</w:t>
            </w:r>
            <w:proofErr w:type="spellEnd"/>
            <w:r w:rsidRPr="00F05FF5">
              <w:rPr>
                <w:rFonts w:eastAsiaTheme="minorHAnsi"/>
                <w:sz w:val="24"/>
                <w:szCs w:val="24"/>
                <w:lang w:val="en-US" w:eastAsia="en-US"/>
              </w:rPr>
              <w:t xml:space="preserve"> the conditions for this term in another country.</w:t>
            </w:r>
          </w:p>
          <w:p w:rsidR="00673CBB" w:rsidRPr="00F05FF5" w:rsidRDefault="00673CBB" w:rsidP="00F05FF5">
            <w:pPr>
              <w:autoSpaceDE w:val="0"/>
              <w:autoSpaceDN w:val="0"/>
              <w:adjustRightInd w:val="0"/>
              <w:jc w:val="both"/>
              <w:rPr>
                <w:rFonts w:eastAsiaTheme="minorHAnsi"/>
                <w:sz w:val="24"/>
                <w:szCs w:val="24"/>
                <w:lang w:val="en-US" w:eastAsia="en-US"/>
              </w:rPr>
            </w:pPr>
            <w:r w:rsidRPr="00F05FF5">
              <w:rPr>
                <w:rFonts w:eastAsiaTheme="minorHAnsi"/>
                <w:sz w:val="24"/>
                <w:szCs w:val="24"/>
                <w:lang w:val="en-US" w:eastAsia="en-US"/>
              </w:rPr>
              <w:t>Do the Salvadorian authorities foresee the possibility to complement the notified draft with definitions of the materials to be used in the footwear label or to indicate a clear reference where to find the national definitions?</w:t>
            </w:r>
          </w:p>
          <w:p w:rsidR="00673CBB" w:rsidRPr="00F05FF5" w:rsidRDefault="00673CBB" w:rsidP="00F05FF5">
            <w:pPr>
              <w:autoSpaceDE w:val="0"/>
              <w:autoSpaceDN w:val="0"/>
              <w:adjustRightInd w:val="0"/>
              <w:jc w:val="both"/>
              <w:rPr>
                <w:sz w:val="24"/>
                <w:szCs w:val="24"/>
                <w:lang w:val="en-US" w:eastAsia="en-US"/>
              </w:rPr>
            </w:pPr>
            <w:r w:rsidRPr="00F05FF5">
              <w:rPr>
                <w:rFonts w:eastAsiaTheme="minorHAnsi"/>
                <w:sz w:val="24"/>
                <w:szCs w:val="24"/>
                <w:lang w:val="en-US" w:eastAsia="en-US"/>
              </w:rPr>
              <w:t>The EU would appreciate receiving information on how national definitions of leather relate to ISO standards for the identification of leather by microscopy (ISO 17131) and for determination of the thickness of coated leather (ISO 17186).</w:t>
            </w:r>
          </w:p>
        </w:tc>
        <w:tc>
          <w:tcPr>
            <w:tcW w:w="0" w:type="auto"/>
            <w:shd w:val="clear" w:color="auto" w:fill="auto"/>
            <w:vAlign w:val="center"/>
          </w:tcPr>
          <w:p w:rsidR="00673CBB" w:rsidRPr="00F05FF5" w:rsidRDefault="00673CBB" w:rsidP="00F05FF5">
            <w:pPr>
              <w:jc w:val="both"/>
              <w:rPr>
                <w:sz w:val="24"/>
                <w:szCs w:val="24"/>
                <w:lang w:val="es-CR" w:eastAsia="en-US"/>
              </w:rPr>
            </w:pPr>
          </w:p>
        </w:tc>
        <w:tc>
          <w:tcPr>
            <w:tcW w:w="0" w:type="auto"/>
            <w:shd w:val="clear" w:color="auto" w:fill="auto"/>
            <w:vAlign w:val="center"/>
          </w:tcPr>
          <w:p w:rsidR="00673CBB" w:rsidRPr="00F05FF5" w:rsidRDefault="00673CBB" w:rsidP="00B206B3">
            <w:pPr>
              <w:jc w:val="center"/>
              <w:rPr>
                <w:b/>
                <w:sz w:val="24"/>
                <w:szCs w:val="24"/>
                <w:lang w:val="es-CR" w:eastAsia="en-US"/>
              </w:rPr>
            </w:pPr>
          </w:p>
        </w:tc>
      </w:tr>
      <w:tr w:rsidR="00492F0A" w:rsidRPr="00F05FF5" w:rsidTr="00E528CA">
        <w:tc>
          <w:tcPr>
            <w:tcW w:w="0" w:type="auto"/>
            <w:shd w:val="clear" w:color="auto" w:fill="auto"/>
            <w:vAlign w:val="center"/>
          </w:tcPr>
          <w:p w:rsidR="00673CBB" w:rsidRPr="00F05FF5" w:rsidRDefault="00673CBB" w:rsidP="00E528CA">
            <w:pPr>
              <w:rPr>
                <w:b/>
                <w:sz w:val="24"/>
                <w:szCs w:val="24"/>
                <w:lang w:val="es-CR" w:eastAsia="en-US"/>
              </w:rPr>
            </w:pPr>
          </w:p>
        </w:tc>
        <w:tc>
          <w:tcPr>
            <w:tcW w:w="0" w:type="auto"/>
            <w:shd w:val="clear" w:color="auto" w:fill="auto"/>
            <w:vAlign w:val="center"/>
          </w:tcPr>
          <w:p w:rsidR="00673CBB" w:rsidRPr="00F05FF5" w:rsidRDefault="00673CBB" w:rsidP="00B206B3">
            <w:pPr>
              <w:jc w:val="center"/>
              <w:rPr>
                <w:b/>
                <w:sz w:val="24"/>
                <w:szCs w:val="24"/>
                <w:lang w:val="es-CR" w:eastAsia="en-US"/>
              </w:rPr>
            </w:pPr>
          </w:p>
        </w:tc>
        <w:tc>
          <w:tcPr>
            <w:tcW w:w="0" w:type="auto"/>
            <w:shd w:val="clear" w:color="auto" w:fill="auto"/>
            <w:vAlign w:val="center"/>
          </w:tcPr>
          <w:p w:rsidR="00673CBB" w:rsidRPr="00F05FF5" w:rsidRDefault="00673CBB" w:rsidP="00F05FF5">
            <w:pPr>
              <w:jc w:val="both"/>
              <w:rPr>
                <w:b/>
                <w:sz w:val="24"/>
                <w:szCs w:val="24"/>
                <w:lang w:val="en-US" w:eastAsia="en-US"/>
              </w:rPr>
            </w:pPr>
            <w:r w:rsidRPr="00F05FF5">
              <w:rPr>
                <w:b/>
                <w:sz w:val="24"/>
                <w:szCs w:val="24"/>
                <w:lang w:val="en-US" w:eastAsia="en-US"/>
              </w:rPr>
              <w:t xml:space="preserve">4. General principles of </w:t>
            </w:r>
            <w:r w:rsidR="00F60993" w:rsidRPr="00F05FF5">
              <w:rPr>
                <w:b/>
                <w:sz w:val="24"/>
                <w:szCs w:val="24"/>
                <w:lang w:val="en-US" w:eastAsia="en-US"/>
              </w:rPr>
              <w:t>labeling</w:t>
            </w:r>
          </w:p>
          <w:p w:rsidR="00673CBB" w:rsidRPr="00F05FF5" w:rsidRDefault="00673CBB" w:rsidP="00F05FF5">
            <w:pPr>
              <w:jc w:val="both"/>
              <w:rPr>
                <w:sz w:val="24"/>
                <w:szCs w:val="24"/>
                <w:lang w:val="en-US" w:eastAsia="en-US"/>
              </w:rPr>
            </w:pPr>
            <w:r w:rsidRPr="00F05FF5">
              <w:rPr>
                <w:sz w:val="24"/>
                <w:szCs w:val="24"/>
                <w:lang w:val="en-US" w:eastAsia="en-US"/>
              </w:rPr>
              <w:t>Article 4.1 allows the information to be included either on a permanent label</w:t>
            </w:r>
            <w:r w:rsidR="00F60993" w:rsidRPr="00F05FF5">
              <w:rPr>
                <w:sz w:val="24"/>
                <w:szCs w:val="24"/>
                <w:lang w:val="en-US" w:eastAsia="en-US"/>
              </w:rPr>
              <w:t xml:space="preserve"> </w:t>
            </w:r>
            <w:r w:rsidRPr="00F05FF5">
              <w:rPr>
                <w:sz w:val="24"/>
                <w:szCs w:val="24"/>
                <w:lang w:val="en-US" w:eastAsia="en-US"/>
              </w:rPr>
              <w:t>(marked, printed, sewn or glued) or on a non-permanent label (stuck, hung or</w:t>
            </w:r>
            <w:r w:rsidR="00F60993" w:rsidRPr="00F05FF5">
              <w:rPr>
                <w:sz w:val="24"/>
                <w:szCs w:val="24"/>
                <w:lang w:val="en-US" w:eastAsia="en-US"/>
              </w:rPr>
              <w:t xml:space="preserve"> </w:t>
            </w:r>
            <w:r w:rsidRPr="00F05FF5">
              <w:rPr>
                <w:sz w:val="24"/>
                <w:szCs w:val="24"/>
                <w:lang w:val="en-US" w:eastAsia="en-US"/>
              </w:rPr>
              <w:t>tied). Since according to Article 4.5 the use of one or more labels is allowed, would</w:t>
            </w:r>
            <w:r w:rsidR="00F60993" w:rsidRPr="00F05FF5">
              <w:rPr>
                <w:sz w:val="24"/>
                <w:szCs w:val="24"/>
                <w:lang w:val="en-US" w:eastAsia="en-US"/>
              </w:rPr>
              <w:t xml:space="preserve"> </w:t>
            </w:r>
            <w:r w:rsidRPr="00F05FF5">
              <w:rPr>
                <w:sz w:val="24"/>
                <w:szCs w:val="24"/>
                <w:lang w:val="en-US" w:eastAsia="en-US"/>
              </w:rPr>
              <w:t>it be possible to label some of the obligatory information permanently and to</w:t>
            </w:r>
            <w:r w:rsidR="00F60993" w:rsidRPr="00F05FF5">
              <w:rPr>
                <w:sz w:val="24"/>
                <w:szCs w:val="24"/>
                <w:lang w:val="en-US" w:eastAsia="en-US"/>
              </w:rPr>
              <w:t xml:space="preserve"> </w:t>
            </w:r>
            <w:r w:rsidRPr="00F05FF5">
              <w:rPr>
                <w:sz w:val="24"/>
                <w:szCs w:val="24"/>
                <w:lang w:val="en-US" w:eastAsia="en-US"/>
              </w:rPr>
              <w:t>include the remaining information on a non-permanent label?</w:t>
            </w:r>
          </w:p>
          <w:p w:rsidR="00673CBB" w:rsidRPr="00F05FF5" w:rsidRDefault="00673CBB" w:rsidP="00F05FF5">
            <w:pPr>
              <w:jc w:val="both"/>
              <w:rPr>
                <w:sz w:val="24"/>
                <w:szCs w:val="24"/>
                <w:lang w:val="en-US" w:eastAsia="en-US"/>
              </w:rPr>
            </w:pPr>
            <w:r w:rsidRPr="00F05FF5">
              <w:rPr>
                <w:sz w:val="24"/>
                <w:szCs w:val="24"/>
                <w:lang w:val="en-US" w:eastAsia="en-US"/>
              </w:rPr>
              <w:t>Articles 4.6, 4.7 and 5.3.2 seem to have the same aim as the general conditions of</w:t>
            </w:r>
            <w:r w:rsidR="00F60993" w:rsidRPr="00F05FF5">
              <w:rPr>
                <w:sz w:val="24"/>
                <w:szCs w:val="24"/>
                <w:lang w:val="en-US" w:eastAsia="en-US"/>
              </w:rPr>
              <w:t xml:space="preserve"> </w:t>
            </w:r>
            <w:r w:rsidRPr="00F05FF5">
              <w:rPr>
                <w:sz w:val="24"/>
                <w:szCs w:val="24"/>
                <w:lang w:val="en-US" w:eastAsia="en-US"/>
              </w:rPr>
              <w:t>Article 4.2 regarding visibility, legibility and accessibility. Articles 4.6 and 4.7 set</w:t>
            </w:r>
            <w:r w:rsidR="00F60993" w:rsidRPr="00F05FF5">
              <w:rPr>
                <w:sz w:val="24"/>
                <w:szCs w:val="24"/>
                <w:lang w:val="en-US" w:eastAsia="en-US"/>
              </w:rPr>
              <w:t xml:space="preserve"> </w:t>
            </w:r>
            <w:r w:rsidRPr="00F05FF5">
              <w:rPr>
                <w:sz w:val="24"/>
                <w:szCs w:val="24"/>
                <w:lang w:val="en-US" w:eastAsia="en-US"/>
              </w:rPr>
              <w:t>out detailed technical characteristics of the labels (e.g. less than 1mm, capital</w:t>
            </w:r>
            <w:r w:rsidR="00F60993" w:rsidRPr="00F05FF5">
              <w:rPr>
                <w:sz w:val="24"/>
                <w:szCs w:val="24"/>
                <w:lang w:val="en-US" w:eastAsia="en-US"/>
              </w:rPr>
              <w:t xml:space="preserve"> </w:t>
            </w:r>
            <w:r w:rsidRPr="00F05FF5">
              <w:rPr>
                <w:sz w:val="24"/>
                <w:szCs w:val="24"/>
                <w:lang w:val="en-US" w:eastAsia="en-US"/>
              </w:rPr>
              <w:t>letters). However, they seem to be inconsistent with Article 4.2 which sets out</w:t>
            </w:r>
            <w:r w:rsidR="00F60993" w:rsidRPr="00F05FF5">
              <w:rPr>
                <w:sz w:val="24"/>
                <w:szCs w:val="24"/>
                <w:lang w:val="en-US" w:eastAsia="en-US"/>
              </w:rPr>
              <w:t xml:space="preserve"> </w:t>
            </w:r>
            <w:r w:rsidRPr="00F05FF5">
              <w:rPr>
                <w:sz w:val="24"/>
                <w:szCs w:val="24"/>
                <w:lang w:val="en-US" w:eastAsia="en-US"/>
              </w:rPr>
              <w:t>general requirements for labels while allowing the economic operators to choose</w:t>
            </w:r>
            <w:r w:rsidR="00F60993" w:rsidRPr="00F05FF5">
              <w:rPr>
                <w:sz w:val="24"/>
                <w:szCs w:val="24"/>
                <w:lang w:val="en-US" w:eastAsia="en-US"/>
              </w:rPr>
              <w:t xml:space="preserve"> </w:t>
            </w:r>
            <w:r w:rsidRPr="00F05FF5">
              <w:rPr>
                <w:sz w:val="24"/>
                <w:szCs w:val="24"/>
                <w:lang w:val="en-US" w:eastAsia="en-US"/>
              </w:rPr>
              <w:t>the best way to comply with these requirements.</w:t>
            </w:r>
          </w:p>
          <w:p w:rsidR="00673CBB" w:rsidRPr="00F05FF5" w:rsidRDefault="00673CBB" w:rsidP="00F05FF5">
            <w:pPr>
              <w:jc w:val="both"/>
              <w:rPr>
                <w:sz w:val="24"/>
                <w:szCs w:val="24"/>
                <w:lang w:val="en-US" w:eastAsia="en-US"/>
              </w:rPr>
            </w:pPr>
            <w:r w:rsidRPr="00F05FF5">
              <w:rPr>
                <w:sz w:val="24"/>
                <w:szCs w:val="24"/>
                <w:lang w:val="en-US" w:eastAsia="en-US"/>
              </w:rPr>
              <w:t>The EU would appreciate receiving information as to whether the Salvadorian</w:t>
            </w:r>
            <w:r w:rsidR="00F60993" w:rsidRPr="00F05FF5">
              <w:rPr>
                <w:sz w:val="24"/>
                <w:szCs w:val="24"/>
                <w:lang w:val="en-US" w:eastAsia="en-US"/>
              </w:rPr>
              <w:t xml:space="preserve"> </w:t>
            </w:r>
            <w:r w:rsidRPr="00F05FF5">
              <w:rPr>
                <w:sz w:val="24"/>
                <w:szCs w:val="24"/>
                <w:lang w:val="en-US" w:eastAsia="en-US"/>
              </w:rPr>
              <w:t>authorities could consider maintaining only Article 4.2 for the sake of legal clarity</w:t>
            </w:r>
            <w:r w:rsidR="00F60993" w:rsidRPr="00F05FF5">
              <w:rPr>
                <w:sz w:val="24"/>
                <w:szCs w:val="24"/>
                <w:lang w:val="en-US" w:eastAsia="en-US"/>
              </w:rPr>
              <w:t xml:space="preserve"> </w:t>
            </w:r>
            <w:r w:rsidRPr="00F05FF5">
              <w:rPr>
                <w:sz w:val="24"/>
                <w:szCs w:val="24"/>
                <w:lang w:val="en-US" w:eastAsia="en-US"/>
              </w:rPr>
              <w:t>and to avoid excessive burdens on economic operators.</w:t>
            </w:r>
          </w:p>
        </w:tc>
        <w:tc>
          <w:tcPr>
            <w:tcW w:w="0" w:type="auto"/>
            <w:shd w:val="clear" w:color="auto" w:fill="auto"/>
            <w:vAlign w:val="center"/>
          </w:tcPr>
          <w:p w:rsidR="00EA3F57" w:rsidRPr="00F05FF5" w:rsidRDefault="00EA3F57" w:rsidP="00F05FF5">
            <w:pPr>
              <w:jc w:val="both"/>
              <w:rPr>
                <w:sz w:val="24"/>
                <w:szCs w:val="24"/>
                <w:lang w:val="es-CR" w:eastAsia="en-US"/>
              </w:rPr>
            </w:pPr>
          </w:p>
        </w:tc>
        <w:tc>
          <w:tcPr>
            <w:tcW w:w="0" w:type="auto"/>
            <w:shd w:val="clear" w:color="auto" w:fill="auto"/>
            <w:vAlign w:val="center"/>
          </w:tcPr>
          <w:p w:rsidR="00673CBB" w:rsidRPr="00F05FF5" w:rsidRDefault="00673CBB" w:rsidP="00B206B3">
            <w:pPr>
              <w:jc w:val="center"/>
              <w:rPr>
                <w:b/>
                <w:sz w:val="24"/>
                <w:szCs w:val="24"/>
                <w:lang w:val="es-CR" w:eastAsia="en-US"/>
              </w:rPr>
            </w:pPr>
          </w:p>
        </w:tc>
      </w:tr>
      <w:tr w:rsidR="00492F0A" w:rsidRPr="00F05FF5" w:rsidTr="00E528CA">
        <w:tc>
          <w:tcPr>
            <w:tcW w:w="0" w:type="auto"/>
            <w:shd w:val="clear" w:color="auto" w:fill="auto"/>
            <w:vAlign w:val="center"/>
          </w:tcPr>
          <w:p w:rsidR="00673CBB" w:rsidRPr="00F05FF5" w:rsidRDefault="00673CBB" w:rsidP="00E528CA">
            <w:pPr>
              <w:rPr>
                <w:b/>
                <w:sz w:val="24"/>
                <w:szCs w:val="24"/>
                <w:lang w:val="es-CR" w:eastAsia="en-US"/>
              </w:rPr>
            </w:pPr>
          </w:p>
        </w:tc>
        <w:tc>
          <w:tcPr>
            <w:tcW w:w="0" w:type="auto"/>
            <w:shd w:val="clear" w:color="auto" w:fill="auto"/>
            <w:vAlign w:val="center"/>
          </w:tcPr>
          <w:p w:rsidR="00673CBB" w:rsidRPr="00F05FF5" w:rsidRDefault="00673CBB" w:rsidP="00B206B3">
            <w:pPr>
              <w:jc w:val="center"/>
              <w:rPr>
                <w:b/>
                <w:sz w:val="24"/>
                <w:szCs w:val="24"/>
                <w:lang w:val="es-CR" w:eastAsia="en-US"/>
              </w:rPr>
            </w:pPr>
          </w:p>
        </w:tc>
        <w:tc>
          <w:tcPr>
            <w:tcW w:w="0" w:type="auto"/>
            <w:shd w:val="clear" w:color="auto" w:fill="auto"/>
            <w:vAlign w:val="center"/>
          </w:tcPr>
          <w:p w:rsidR="00F60993" w:rsidRPr="00F05FF5" w:rsidRDefault="00F60993" w:rsidP="00F60993">
            <w:pPr>
              <w:jc w:val="both"/>
              <w:rPr>
                <w:b/>
                <w:sz w:val="24"/>
                <w:szCs w:val="24"/>
                <w:lang w:val="en-US" w:eastAsia="en-US"/>
              </w:rPr>
            </w:pPr>
            <w:r w:rsidRPr="00F05FF5">
              <w:rPr>
                <w:b/>
                <w:sz w:val="24"/>
                <w:szCs w:val="24"/>
                <w:lang w:val="en-US" w:eastAsia="en-US"/>
              </w:rPr>
              <w:t xml:space="preserve">5. </w:t>
            </w:r>
            <w:proofErr w:type="spellStart"/>
            <w:r w:rsidRPr="00F05FF5">
              <w:rPr>
                <w:b/>
                <w:sz w:val="24"/>
                <w:szCs w:val="24"/>
                <w:lang w:val="en-US" w:eastAsia="en-US"/>
              </w:rPr>
              <w:t>Labelling</w:t>
            </w:r>
            <w:proofErr w:type="spellEnd"/>
            <w:r w:rsidRPr="00F05FF5">
              <w:rPr>
                <w:b/>
                <w:sz w:val="24"/>
                <w:szCs w:val="24"/>
                <w:lang w:val="en-US" w:eastAsia="en-US"/>
              </w:rPr>
              <w:t xml:space="preserve"> requirements</w:t>
            </w:r>
          </w:p>
          <w:p w:rsidR="00F60993" w:rsidRPr="00F05FF5" w:rsidRDefault="00F60993" w:rsidP="00F60993">
            <w:pPr>
              <w:jc w:val="both"/>
              <w:rPr>
                <w:sz w:val="24"/>
                <w:szCs w:val="24"/>
                <w:lang w:val="en-US" w:eastAsia="en-US"/>
              </w:rPr>
            </w:pPr>
            <w:r w:rsidRPr="00F05FF5">
              <w:rPr>
                <w:sz w:val="24"/>
                <w:szCs w:val="24"/>
                <w:lang w:val="en-US" w:eastAsia="en-US"/>
              </w:rPr>
              <w:t xml:space="preserve">Regarding the </w:t>
            </w:r>
            <w:proofErr w:type="spellStart"/>
            <w:r w:rsidRPr="00F05FF5">
              <w:rPr>
                <w:sz w:val="24"/>
                <w:szCs w:val="24"/>
                <w:lang w:val="en-US" w:eastAsia="en-US"/>
              </w:rPr>
              <w:t>labelling</w:t>
            </w:r>
            <w:proofErr w:type="spellEnd"/>
            <w:r w:rsidRPr="00F05FF5">
              <w:rPr>
                <w:sz w:val="24"/>
                <w:szCs w:val="24"/>
                <w:lang w:val="en-US" w:eastAsia="en-US"/>
              </w:rPr>
              <w:t xml:space="preserve"> requirements in Article 5 of the notified draft, the EU would like to make the following comments. </w:t>
            </w:r>
          </w:p>
          <w:p w:rsidR="00F60993" w:rsidRPr="00F05FF5" w:rsidRDefault="00F60993" w:rsidP="00F60993">
            <w:pPr>
              <w:jc w:val="both"/>
              <w:rPr>
                <w:sz w:val="24"/>
                <w:szCs w:val="24"/>
                <w:lang w:val="en-US" w:eastAsia="en-US"/>
              </w:rPr>
            </w:pPr>
            <w:r w:rsidRPr="00F05FF5">
              <w:rPr>
                <w:sz w:val="24"/>
                <w:szCs w:val="24"/>
                <w:lang w:val="en-US" w:eastAsia="en-US"/>
              </w:rPr>
              <w:t>According to Article 5 of the technical regulation it is obligatory to include the following information on the label: country of origin, name and address of the producer/distributor/importer, the materials of the different components and the shoe size.</w:t>
            </w:r>
          </w:p>
          <w:p w:rsidR="00F60993" w:rsidRPr="00F05FF5" w:rsidRDefault="00F60993" w:rsidP="00F60993">
            <w:pPr>
              <w:jc w:val="both"/>
              <w:rPr>
                <w:sz w:val="24"/>
                <w:szCs w:val="24"/>
                <w:lang w:val="en-US" w:eastAsia="en-US"/>
              </w:rPr>
            </w:pPr>
          </w:p>
          <w:p w:rsidR="00F60993" w:rsidRPr="00F05FF5" w:rsidRDefault="00F60993" w:rsidP="00F60993">
            <w:pPr>
              <w:jc w:val="both"/>
              <w:rPr>
                <w:sz w:val="24"/>
                <w:szCs w:val="24"/>
                <w:lang w:val="en-US" w:eastAsia="en-US"/>
              </w:rPr>
            </w:pPr>
            <w:r w:rsidRPr="00F05FF5">
              <w:rPr>
                <w:sz w:val="24"/>
                <w:szCs w:val="24"/>
                <w:lang w:val="en-US" w:eastAsia="en-US"/>
              </w:rPr>
              <w:t>A. Article 5.1a) requires the indication of the country of origin, defined in Article 3.13 as the country where the product has been produced. In this respect the EU would like to know:</w:t>
            </w:r>
          </w:p>
          <w:p w:rsidR="00F60993" w:rsidRPr="00F05FF5" w:rsidRDefault="00F60993" w:rsidP="00F60993">
            <w:pPr>
              <w:rPr>
                <w:sz w:val="24"/>
                <w:szCs w:val="24"/>
                <w:lang w:val="en-US" w:eastAsia="en-US"/>
              </w:rPr>
            </w:pPr>
          </w:p>
          <w:p w:rsidR="00F60993" w:rsidRPr="00F05FF5" w:rsidRDefault="00F60993" w:rsidP="00F60993">
            <w:pPr>
              <w:jc w:val="both"/>
              <w:rPr>
                <w:sz w:val="24"/>
                <w:szCs w:val="24"/>
                <w:lang w:val="en-US" w:eastAsia="en-US"/>
              </w:rPr>
            </w:pPr>
            <w:r w:rsidRPr="00F05FF5">
              <w:rPr>
                <w:sz w:val="24"/>
                <w:szCs w:val="24"/>
                <w:lang w:val="en-US" w:eastAsia="en-US"/>
              </w:rPr>
              <w:t xml:space="preserve">a) Which criteria are used to determine the country of origin mentioned in </w:t>
            </w:r>
            <w:proofErr w:type="gramStart"/>
            <w:r w:rsidRPr="00F05FF5">
              <w:rPr>
                <w:sz w:val="24"/>
                <w:szCs w:val="24"/>
                <w:lang w:val="en-US" w:eastAsia="en-US"/>
              </w:rPr>
              <w:t>Article3.13.</w:t>
            </w:r>
            <w:proofErr w:type="gramEnd"/>
            <w:r w:rsidRPr="00F05FF5">
              <w:rPr>
                <w:sz w:val="24"/>
                <w:szCs w:val="24"/>
                <w:lang w:val="en-US" w:eastAsia="en-US"/>
              </w:rPr>
              <w:t xml:space="preserve"> For example, </w:t>
            </w:r>
            <w:r w:rsidRPr="00F05FF5">
              <w:rPr>
                <w:sz w:val="24"/>
                <w:szCs w:val="24"/>
                <w:lang w:val="en-US" w:eastAsia="en-US"/>
              </w:rPr>
              <w:lastRenderedPageBreak/>
              <w:t xml:space="preserve">would it be acceptable to label "Union </w:t>
            </w:r>
            <w:proofErr w:type="spellStart"/>
            <w:r w:rsidRPr="00F05FF5">
              <w:rPr>
                <w:sz w:val="24"/>
                <w:szCs w:val="24"/>
                <w:lang w:val="en-US" w:eastAsia="en-US"/>
              </w:rPr>
              <w:t>Europea</w:t>
            </w:r>
            <w:proofErr w:type="spellEnd"/>
            <w:r w:rsidRPr="00F05FF5">
              <w:rPr>
                <w:sz w:val="24"/>
                <w:szCs w:val="24"/>
                <w:lang w:val="en-US" w:eastAsia="en-US"/>
              </w:rPr>
              <w:t>" or "UE" as</w:t>
            </w:r>
            <w:r w:rsidR="00280762" w:rsidRPr="00F05FF5">
              <w:rPr>
                <w:sz w:val="24"/>
                <w:szCs w:val="24"/>
                <w:lang w:val="en-US" w:eastAsia="en-US"/>
              </w:rPr>
              <w:t xml:space="preserve"> </w:t>
            </w:r>
            <w:r w:rsidRPr="00F05FF5">
              <w:rPr>
                <w:sz w:val="24"/>
                <w:szCs w:val="24"/>
                <w:lang w:val="en-US" w:eastAsia="en-US"/>
              </w:rPr>
              <w:t>the origin?</w:t>
            </w:r>
          </w:p>
          <w:p w:rsidR="00F60993" w:rsidRPr="00F05FF5" w:rsidRDefault="00F60993" w:rsidP="00F60993">
            <w:pPr>
              <w:jc w:val="both"/>
              <w:rPr>
                <w:sz w:val="24"/>
                <w:szCs w:val="24"/>
                <w:lang w:val="en-US" w:eastAsia="en-US"/>
              </w:rPr>
            </w:pPr>
            <w:r w:rsidRPr="00F05FF5">
              <w:rPr>
                <w:sz w:val="24"/>
                <w:szCs w:val="24"/>
                <w:lang w:val="en-US" w:eastAsia="en-US"/>
              </w:rPr>
              <w:t xml:space="preserve">b) What would be the country of origin in cases where components of shoes from several countries have been assembled in another country? Do footwear parts covered by code 64.06 also need to be </w:t>
            </w:r>
            <w:proofErr w:type="spellStart"/>
            <w:r w:rsidRPr="00F05FF5">
              <w:rPr>
                <w:sz w:val="24"/>
                <w:szCs w:val="24"/>
                <w:lang w:val="en-US" w:eastAsia="en-US"/>
              </w:rPr>
              <w:t>labelled</w:t>
            </w:r>
            <w:proofErr w:type="spellEnd"/>
            <w:r w:rsidRPr="00F05FF5">
              <w:rPr>
                <w:sz w:val="24"/>
                <w:szCs w:val="24"/>
                <w:lang w:val="en-US" w:eastAsia="en-US"/>
              </w:rPr>
              <w:t xml:space="preserve"> with the country of</w:t>
            </w:r>
          </w:p>
          <w:p w:rsidR="00F60993" w:rsidRPr="00F05FF5" w:rsidRDefault="00F60993" w:rsidP="00F60993">
            <w:pPr>
              <w:jc w:val="both"/>
              <w:rPr>
                <w:sz w:val="24"/>
                <w:szCs w:val="24"/>
                <w:lang w:val="en-US" w:eastAsia="en-US"/>
              </w:rPr>
            </w:pPr>
            <w:proofErr w:type="gramStart"/>
            <w:r w:rsidRPr="00F05FF5">
              <w:rPr>
                <w:sz w:val="24"/>
                <w:szCs w:val="24"/>
                <w:lang w:val="en-US" w:eastAsia="en-US"/>
              </w:rPr>
              <w:t>production</w:t>
            </w:r>
            <w:proofErr w:type="gramEnd"/>
            <w:r w:rsidRPr="00F05FF5">
              <w:rPr>
                <w:sz w:val="24"/>
                <w:szCs w:val="24"/>
                <w:lang w:val="en-US" w:eastAsia="en-US"/>
              </w:rPr>
              <w:t>? In particular, what is understood as the country of production in the various countries for footwear and for footwear parts covered by code 64.06; the place where the leather has been produced, the place where the</w:t>
            </w:r>
          </w:p>
          <w:p w:rsidR="00F60993" w:rsidRPr="00F05FF5" w:rsidRDefault="00F60993" w:rsidP="00F60993">
            <w:pPr>
              <w:jc w:val="both"/>
              <w:rPr>
                <w:sz w:val="24"/>
                <w:szCs w:val="24"/>
                <w:lang w:val="en-US" w:eastAsia="en-US"/>
              </w:rPr>
            </w:pPr>
            <w:proofErr w:type="gramStart"/>
            <w:r w:rsidRPr="00F05FF5">
              <w:rPr>
                <w:sz w:val="24"/>
                <w:szCs w:val="24"/>
                <w:lang w:val="en-US" w:eastAsia="en-US"/>
              </w:rPr>
              <w:t>leather</w:t>
            </w:r>
            <w:proofErr w:type="gramEnd"/>
            <w:r w:rsidRPr="00F05FF5">
              <w:rPr>
                <w:sz w:val="24"/>
                <w:szCs w:val="24"/>
                <w:lang w:val="en-US" w:eastAsia="en-US"/>
              </w:rPr>
              <w:t xml:space="preserve"> has been cut or the country where both operations have taken place?</w:t>
            </w:r>
          </w:p>
          <w:p w:rsidR="00F60993" w:rsidRPr="00F05FF5" w:rsidRDefault="00F60993" w:rsidP="00F60993">
            <w:pPr>
              <w:jc w:val="both"/>
              <w:rPr>
                <w:sz w:val="24"/>
                <w:szCs w:val="24"/>
                <w:lang w:val="en-US" w:eastAsia="en-US"/>
              </w:rPr>
            </w:pPr>
            <w:r w:rsidRPr="00F05FF5">
              <w:rPr>
                <w:sz w:val="24"/>
                <w:szCs w:val="24"/>
                <w:lang w:val="en-US" w:eastAsia="en-US"/>
              </w:rPr>
              <w:t xml:space="preserve">c) To what extent is the requirement of Article 4.4 to use the Spanish language binding for origin </w:t>
            </w:r>
            <w:proofErr w:type="spellStart"/>
            <w:r w:rsidRPr="00F05FF5">
              <w:rPr>
                <w:sz w:val="24"/>
                <w:szCs w:val="24"/>
                <w:lang w:val="en-US" w:eastAsia="en-US"/>
              </w:rPr>
              <w:t>labelling</w:t>
            </w:r>
            <w:proofErr w:type="spellEnd"/>
            <w:r w:rsidRPr="00F05FF5">
              <w:rPr>
                <w:sz w:val="24"/>
                <w:szCs w:val="24"/>
                <w:lang w:val="en-US" w:eastAsia="en-US"/>
              </w:rPr>
              <w:t xml:space="preserve">? Would a </w:t>
            </w:r>
            <w:proofErr w:type="spellStart"/>
            <w:r w:rsidRPr="00F05FF5">
              <w:rPr>
                <w:sz w:val="24"/>
                <w:szCs w:val="24"/>
                <w:lang w:val="en-US" w:eastAsia="en-US"/>
              </w:rPr>
              <w:t>labelling</w:t>
            </w:r>
            <w:proofErr w:type="spellEnd"/>
            <w:r w:rsidRPr="00F05FF5">
              <w:rPr>
                <w:sz w:val="24"/>
                <w:szCs w:val="24"/>
                <w:lang w:val="en-US" w:eastAsia="en-US"/>
              </w:rPr>
              <w:t xml:space="preserve"> "Made in ..." only in the English language be acceptable?</w:t>
            </w:r>
          </w:p>
          <w:p w:rsidR="00F60993" w:rsidRPr="00F05FF5" w:rsidRDefault="00F60993" w:rsidP="00F60993">
            <w:pPr>
              <w:jc w:val="both"/>
              <w:rPr>
                <w:sz w:val="24"/>
                <w:szCs w:val="24"/>
                <w:lang w:val="en-US" w:eastAsia="en-US"/>
              </w:rPr>
            </w:pPr>
          </w:p>
          <w:p w:rsidR="00F60993" w:rsidRPr="00F05FF5" w:rsidRDefault="00F60993" w:rsidP="00F60993">
            <w:pPr>
              <w:jc w:val="both"/>
              <w:rPr>
                <w:sz w:val="24"/>
                <w:szCs w:val="24"/>
                <w:lang w:val="en-US" w:eastAsia="en-US"/>
              </w:rPr>
            </w:pPr>
            <w:r w:rsidRPr="00F05FF5">
              <w:rPr>
                <w:sz w:val="24"/>
                <w:szCs w:val="24"/>
                <w:lang w:val="en-US" w:eastAsia="en-US"/>
              </w:rPr>
              <w:t>B. With regard to the name and address of the manufacturer, distributor or importer (Article 5.1b), the EU would like to know whether the Salvadorian authorities have considered the possibility of putting this information on the</w:t>
            </w:r>
          </w:p>
          <w:p w:rsidR="00F60993" w:rsidRPr="00F05FF5" w:rsidRDefault="00F60993" w:rsidP="00F60993">
            <w:pPr>
              <w:jc w:val="both"/>
              <w:rPr>
                <w:sz w:val="24"/>
                <w:szCs w:val="24"/>
                <w:lang w:val="en-US" w:eastAsia="en-US"/>
              </w:rPr>
            </w:pPr>
            <w:proofErr w:type="gramStart"/>
            <w:r w:rsidRPr="00F05FF5">
              <w:rPr>
                <w:sz w:val="24"/>
                <w:szCs w:val="24"/>
                <w:lang w:val="en-US" w:eastAsia="en-US"/>
              </w:rPr>
              <w:t>product</w:t>
            </w:r>
            <w:proofErr w:type="gramEnd"/>
            <w:r w:rsidRPr="00F05FF5">
              <w:rPr>
                <w:sz w:val="24"/>
                <w:szCs w:val="24"/>
                <w:lang w:val="en-US" w:eastAsia="en-US"/>
              </w:rPr>
              <w:t xml:space="preserve"> packaging or in a document accompanying the product, for example in case it is not possible to put this information on the product itself.</w:t>
            </w:r>
          </w:p>
          <w:p w:rsidR="00F60993" w:rsidRPr="00F05FF5" w:rsidRDefault="00F60993" w:rsidP="00F60993">
            <w:pPr>
              <w:jc w:val="both"/>
              <w:rPr>
                <w:sz w:val="24"/>
                <w:szCs w:val="24"/>
                <w:lang w:val="en-US" w:eastAsia="en-US"/>
              </w:rPr>
            </w:pPr>
          </w:p>
          <w:p w:rsidR="00F60993" w:rsidRPr="00F05FF5" w:rsidRDefault="00F60993" w:rsidP="00F60993">
            <w:pPr>
              <w:jc w:val="both"/>
              <w:rPr>
                <w:sz w:val="24"/>
                <w:szCs w:val="24"/>
                <w:lang w:val="en-US" w:eastAsia="en-US"/>
              </w:rPr>
            </w:pPr>
            <w:r w:rsidRPr="00F05FF5">
              <w:rPr>
                <w:sz w:val="24"/>
                <w:szCs w:val="24"/>
                <w:lang w:val="en-US" w:eastAsia="en-US"/>
              </w:rPr>
              <w:t xml:space="preserve">C. With regard to materials (Article 5.2) the EU would like to know why it is necessary to include both the pictogram and written indication of the material as required by Article 5.2.5, while Article 5.2.1 sees them rather as alternatives. The idea behind pictograms (symbols) in </w:t>
            </w:r>
            <w:proofErr w:type="spellStart"/>
            <w:r w:rsidRPr="00F05FF5">
              <w:rPr>
                <w:sz w:val="24"/>
                <w:szCs w:val="24"/>
                <w:lang w:val="en-US" w:eastAsia="en-US"/>
              </w:rPr>
              <w:t>labelling</w:t>
            </w:r>
            <w:proofErr w:type="spellEnd"/>
            <w:r w:rsidRPr="00F05FF5">
              <w:rPr>
                <w:sz w:val="24"/>
                <w:szCs w:val="24"/>
                <w:lang w:val="en-US" w:eastAsia="en-US"/>
              </w:rPr>
              <w:t xml:space="preserve"> is to avoid the necessity to include written information. This is a common practice in many countries of the world. Thus for companies who already use the pictogram to</w:t>
            </w:r>
          </w:p>
          <w:p w:rsidR="00F60993" w:rsidRPr="00F05FF5" w:rsidRDefault="00F60993" w:rsidP="00F60993">
            <w:pPr>
              <w:jc w:val="both"/>
              <w:rPr>
                <w:sz w:val="24"/>
                <w:szCs w:val="24"/>
                <w:lang w:val="en-US" w:eastAsia="en-US"/>
              </w:rPr>
            </w:pPr>
            <w:proofErr w:type="gramStart"/>
            <w:r w:rsidRPr="00F05FF5">
              <w:rPr>
                <w:sz w:val="24"/>
                <w:szCs w:val="24"/>
                <w:lang w:val="en-US" w:eastAsia="en-US"/>
              </w:rPr>
              <w:t>indicate</w:t>
            </w:r>
            <w:proofErr w:type="gramEnd"/>
            <w:r w:rsidRPr="00F05FF5">
              <w:rPr>
                <w:sz w:val="24"/>
                <w:szCs w:val="24"/>
                <w:lang w:val="en-US" w:eastAsia="en-US"/>
              </w:rPr>
              <w:t xml:space="preserve"> materials the obligation of including a written indication of the material</w:t>
            </w:r>
            <w:r w:rsidR="00492F0A" w:rsidRPr="00F05FF5">
              <w:rPr>
                <w:sz w:val="24"/>
                <w:szCs w:val="24"/>
                <w:lang w:val="en-US" w:eastAsia="en-US"/>
              </w:rPr>
              <w:t xml:space="preserve"> </w:t>
            </w:r>
            <w:r w:rsidRPr="00F05FF5">
              <w:rPr>
                <w:sz w:val="24"/>
                <w:szCs w:val="24"/>
                <w:lang w:val="en-US" w:eastAsia="en-US"/>
              </w:rPr>
              <w:t>in Spanish to export footwear to El Salvador is an unnecessary extra burden.</w:t>
            </w:r>
          </w:p>
          <w:p w:rsidR="00F60993" w:rsidRPr="00F05FF5" w:rsidRDefault="00F60993" w:rsidP="00F60993">
            <w:pPr>
              <w:jc w:val="both"/>
              <w:rPr>
                <w:sz w:val="24"/>
                <w:szCs w:val="24"/>
                <w:lang w:val="en-US" w:eastAsia="en-US"/>
              </w:rPr>
            </w:pPr>
            <w:r w:rsidRPr="00F05FF5">
              <w:rPr>
                <w:sz w:val="24"/>
                <w:szCs w:val="24"/>
                <w:lang w:val="en-US" w:eastAsia="en-US"/>
              </w:rPr>
              <w:t>The draft technical regulation requires in Article 4.4 the addition of a second</w:t>
            </w:r>
          </w:p>
          <w:p w:rsidR="00F60993" w:rsidRPr="00F05FF5" w:rsidRDefault="00F60993" w:rsidP="00F60993">
            <w:pPr>
              <w:jc w:val="both"/>
              <w:rPr>
                <w:sz w:val="24"/>
                <w:szCs w:val="24"/>
                <w:lang w:val="en-US" w:eastAsia="en-US"/>
              </w:rPr>
            </w:pPr>
            <w:proofErr w:type="gramStart"/>
            <w:r w:rsidRPr="00F05FF5">
              <w:rPr>
                <w:sz w:val="24"/>
                <w:szCs w:val="24"/>
                <w:lang w:val="en-US" w:eastAsia="en-US"/>
              </w:rPr>
              <w:t>label</w:t>
            </w:r>
            <w:proofErr w:type="gramEnd"/>
            <w:r w:rsidRPr="00F05FF5">
              <w:rPr>
                <w:sz w:val="24"/>
                <w:szCs w:val="24"/>
                <w:lang w:val="en-US" w:eastAsia="en-US"/>
              </w:rPr>
              <w:t xml:space="preserve"> in Spanish when the original text is in a different language. Would a</w:t>
            </w:r>
          </w:p>
          <w:p w:rsidR="00F60993" w:rsidRPr="00F05FF5" w:rsidRDefault="00F60993" w:rsidP="00F60993">
            <w:pPr>
              <w:jc w:val="both"/>
              <w:rPr>
                <w:sz w:val="24"/>
                <w:szCs w:val="24"/>
                <w:lang w:val="en-US" w:eastAsia="en-US"/>
              </w:rPr>
            </w:pPr>
            <w:proofErr w:type="gramStart"/>
            <w:r w:rsidRPr="00F05FF5">
              <w:rPr>
                <w:sz w:val="24"/>
                <w:szCs w:val="24"/>
                <w:lang w:val="en-US" w:eastAsia="en-US"/>
              </w:rPr>
              <w:t>multi-language</w:t>
            </w:r>
            <w:proofErr w:type="gramEnd"/>
            <w:r w:rsidRPr="00F05FF5">
              <w:rPr>
                <w:sz w:val="24"/>
                <w:szCs w:val="24"/>
                <w:lang w:val="en-US" w:eastAsia="en-US"/>
              </w:rPr>
              <w:t xml:space="preserve"> label be accepted?</w:t>
            </w:r>
          </w:p>
          <w:p w:rsidR="00F67AF2" w:rsidRPr="00F05FF5" w:rsidRDefault="00F67AF2" w:rsidP="00F60993">
            <w:pPr>
              <w:jc w:val="both"/>
              <w:rPr>
                <w:sz w:val="24"/>
                <w:szCs w:val="24"/>
                <w:lang w:val="en-US" w:eastAsia="en-US"/>
              </w:rPr>
            </w:pPr>
          </w:p>
          <w:p w:rsidR="00673CBB" w:rsidRPr="00F05FF5" w:rsidRDefault="00F60993" w:rsidP="00F60993">
            <w:pPr>
              <w:jc w:val="both"/>
              <w:rPr>
                <w:sz w:val="24"/>
                <w:szCs w:val="24"/>
                <w:lang w:val="en-US" w:eastAsia="en-US"/>
              </w:rPr>
            </w:pPr>
            <w:r w:rsidRPr="00F05FF5">
              <w:rPr>
                <w:sz w:val="24"/>
                <w:szCs w:val="24"/>
                <w:lang w:val="en-US" w:eastAsia="en-US"/>
              </w:rPr>
              <w:t xml:space="preserve">D. While Article 4.2 requires the </w:t>
            </w:r>
            <w:proofErr w:type="spellStart"/>
            <w:r w:rsidRPr="00F05FF5">
              <w:rPr>
                <w:sz w:val="24"/>
                <w:szCs w:val="24"/>
                <w:lang w:val="en-US" w:eastAsia="en-US"/>
              </w:rPr>
              <w:t>labelling</w:t>
            </w:r>
            <w:proofErr w:type="spellEnd"/>
            <w:r w:rsidRPr="00F05FF5">
              <w:rPr>
                <w:sz w:val="24"/>
                <w:szCs w:val="24"/>
                <w:lang w:val="en-US" w:eastAsia="en-US"/>
              </w:rPr>
              <w:t xml:space="preserve"> information to be presented in at least</w:t>
            </w:r>
            <w:r w:rsidR="00F67AF2" w:rsidRPr="00F05FF5">
              <w:rPr>
                <w:sz w:val="24"/>
                <w:szCs w:val="24"/>
                <w:lang w:val="en-US" w:eastAsia="en-US"/>
              </w:rPr>
              <w:t xml:space="preserve"> </w:t>
            </w:r>
            <w:r w:rsidRPr="00F05FF5">
              <w:rPr>
                <w:sz w:val="24"/>
                <w:szCs w:val="24"/>
                <w:lang w:val="en-US" w:eastAsia="en-US"/>
              </w:rPr>
              <w:t xml:space="preserve">one shoe of a pair, Article 5.3.2 requires the </w:t>
            </w:r>
            <w:proofErr w:type="spellStart"/>
            <w:r w:rsidRPr="00F05FF5">
              <w:rPr>
                <w:sz w:val="24"/>
                <w:szCs w:val="24"/>
                <w:lang w:val="en-US" w:eastAsia="en-US"/>
              </w:rPr>
              <w:t>labelling</w:t>
            </w:r>
            <w:proofErr w:type="spellEnd"/>
            <w:r w:rsidRPr="00F05FF5">
              <w:rPr>
                <w:sz w:val="24"/>
                <w:szCs w:val="24"/>
                <w:lang w:val="en-US" w:eastAsia="en-US"/>
              </w:rPr>
              <w:t xml:space="preserve"> of the shoe size in both</w:t>
            </w:r>
            <w:r w:rsidR="00F67AF2" w:rsidRPr="00F05FF5">
              <w:rPr>
                <w:sz w:val="24"/>
                <w:szCs w:val="24"/>
                <w:lang w:val="en-US" w:eastAsia="en-US"/>
              </w:rPr>
              <w:t xml:space="preserve"> </w:t>
            </w:r>
            <w:r w:rsidRPr="00F05FF5">
              <w:rPr>
                <w:sz w:val="24"/>
                <w:szCs w:val="24"/>
                <w:lang w:val="en-US" w:eastAsia="en-US"/>
              </w:rPr>
              <w:t>shoes. Since footwear is naturally sold in pai</w:t>
            </w:r>
            <w:r w:rsidR="00F67AF2" w:rsidRPr="00F05FF5">
              <w:rPr>
                <w:sz w:val="24"/>
                <w:szCs w:val="24"/>
                <w:lang w:val="en-US" w:eastAsia="en-US"/>
              </w:rPr>
              <w:t xml:space="preserve">rs the EU would like to receive </w:t>
            </w:r>
            <w:r w:rsidRPr="00F05FF5">
              <w:rPr>
                <w:sz w:val="24"/>
                <w:szCs w:val="24"/>
                <w:lang w:val="en-US" w:eastAsia="en-US"/>
              </w:rPr>
              <w:t>further information on the reasons for this requirement.</w:t>
            </w:r>
          </w:p>
        </w:tc>
        <w:tc>
          <w:tcPr>
            <w:tcW w:w="0" w:type="auto"/>
            <w:shd w:val="clear" w:color="auto" w:fill="auto"/>
            <w:vAlign w:val="center"/>
          </w:tcPr>
          <w:p w:rsidR="00F67AF2" w:rsidRPr="00F05FF5" w:rsidRDefault="00F67AF2" w:rsidP="00492F0A">
            <w:pPr>
              <w:pStyle w:val="Prrafodelista"/>
              <w:ind w:left="0"/>
              <w:jc w:val="both"/>
              <w:rPr>
                <w:sz w:val="24"/>
                <w:szCs w:val="24"/>
                <w:lang w:val="es-CR" w:eastAsia="en-US"/>
              </w:rPr>
            </w:pPr>
          </w:p>
        </w:tc>
        <w:tc>
          <w:tcPr>
            <w:tcW w:w="0" w:type="auto"/>
            <w:shd w:val="clear" w:color="auto" w:fill="auto"/>
            <w:vAlign w:val="center"/>
          </w:tcPr>
          <w:p w:rsidR="00673CBB" w:rsidRPr="00F05FF5" w:rsidRDefault="00673CBB" w:rsidP="00B206B3">
            <w:pPr>
              <w:jc w:val="center"/>
              <w:rPr>
                <w:b/>
                <w:sz w:val="24"/>
                <w:szCs w:val="24"/>
                <w:lang w:val="es-CR" w:eastAsia="en-US"/>
              </w:rPr>
            </w:pPr>
          </w:p>
        </w:tc>
      </w:tr>
      <w:tr w:rsidR="00492F0A" w:rsidRPr="00F05FF5" w:rsidTr="00E528CA">
        <w:tc>
          <w:tcPr>
            <w:tcW w:w="0" w:type="auto"/>
            <w:shd w:val="clear" w:color="auto" w:fill="auto"/>
            <w:vAlign w:val="center"/>
          </w:tcPr>
          <w:p w:rsidR="00F60993" w:rsidRPr="00F05FF5" w:rsidRDefault="00F60993" w:rsidP="00E528CA">
            <w:pPr>
              <w:rPr>
                <w:b/>
                <w:sz w:val="24"/>
                <w:szCs w:val="24"/>
                <w:lang w:val="es-CR" w:eastAsia="en-US"/>
              </w:rPr>
            </w:pPr>
          </w:p>
        </w:tc>
        <w:tc>
          <w:tcPr>
            <w:tcW w:w="0" w:type="auto"/>
            <w:shd w:val="clear" w:color="auto" w:fill="auto"/>
            <w:vAlign w:val="center"/>
          </w:tcPr>
          <w:p w:rsidR="00F60993" w:rsidRPr="00F05FF5" w:rsidRDefault="00F60993" w:rsidP="00B206B3">
            <w:pPr>
              <w:jc w:val="center"/>
              <w:rPr>
                <w:b/>
                <w:sz w:val="24"/>
                <w:szCs w:val="24"/>
                <w:lang w:val="es-CR" w:eastAsia="en-US"/>
              </w:rPr>
            </w:pPr>
          </w:p>
        </w:tc>
        <w:tc>
          <w:tcPr>
            <w:tcW w:w="0" w:type="auto"/>
            <w:shd w:val="clear" w:color="auto" w:fill="auto"/>
            <w:vAlign w:val="center"/>
          </w:tcPr>
          <w:p w:rsidR="00F60993" w:rsidRPr="00F05FF5" w:rsidRDefault="00F60993" w:rsidP="00F60993">
            <w:pPr>
              <w:autoSpaceDE w:val="0"/>
              <w:autoSpaceDN w:val="0"/>
              <w:adjustRightInd w:val="0"/>
              <w:rPr>
                <w:rFonts w:eastAsiaTheme="minorHAnsi"/>
                <w:b/>
                <w:bCs/>
                <w:sz w:val="24"/>
                <w:szCs w:val="24"/>
                <w:lang w:val="en-US" w:eastAsia="en-US"/>
              </w:rPr>
            </w:pPr>
            <w:r w:rsidRPr="00F05FF5">
              <w:rPr>
                <w:rFonts w:eastAsiaTheme="minorHAnsi"/>
                <w:b/>
                <w:bCs/>
                <w:sz w:val="24"/>
                <w:szCs w:val="24"/>
                <w:lang w:val="en-US" w:eastAsia="en-US"/>
              </w:rPr>
              <w:t>6. Surveillance and inspection</w:t>
            </w:r>
          </w:p>
          <w:p w:rsidR="00F60993" w:rsidRPr="00F05FF5" w:rsidRDefault="00F60993" w:rsidP="00F60993">
            <w:pPr>
              <w:autoSpaceDE w:val="0"/>
              <w:autoSpaceDN w:val="0"/>
              <w:adjustRightInd w:val="0"/>
              <w:rPr>
                <w:rFonts w:eastAsiaTheme="minorHAnsi"/>
                <w:sz w:val="24"/>
                <w:szCs w:val="24"/>
                <w:lang w:val="en-US" w:eastAsia="en-US"/>
              </w:rPr>
            </w:pPr>
            <w:r w:rsidRPr="00F05FF5">
              <w:rPr>
                <w:rFonts w:eastAsiaTheme="minorHAnsi"/>
                <w:sz w:val="24"/>
                <w:szCs w:val="24"/>
                <w:lang w:val="en-US" w:eastAsia="en-US"/>
              </w:rPr>
              <w:t>Article 6 of the notified draft states that market surveillance and inspection are to be conducted by the competent authorities of the State Parties in accordance with their domestic laws. In relation to this, the EU would appreciate receiving further information, in particular on the Salvadorian rules on the certification of conformity, the authorized authorities, the procedure for the verification of conformity and whether a systematic screening at custom clearance is in place or whether the products are controlled through ex-post market-surveillance checks on the market.</w:t>
            </w:r>
          </w:p>
          <w:p w:rsidR="00F60993" w:rsidRPr="00F05FF5" w:rsidRDefault="00F60993" w:rsidP="00F60993">
            <w:pPr>
              <w:autoSpaceDE w:val="0"/>
              <w:autoSpaceDN w:val="0"/>
              <w:adjustRightInd w:val="0"/>
              <w:rPr>
                <w:rFonts w:eastAsiaTheme="minorHAnsi"/>
                <w:sz w:val="24"/>
                <w:szCs w:val="24"/>
                <w:lang w:val="en-US" w:eastAsia="en-US"/>
              </w:rPr>
            </w:pPr>
            <w:r w:rsidRPr="00F05FF5">
              <w:rPr>
                <w:rFonts w:eastAsiaTheme="minorHAnsi"/>
                <w:sz w:val="24"/>
                <w:szCs w:val="24"/>
                <w:lang w:val="en-US" w:eastAsia="en-US"/>
              </w:rPr>
              <w:t>Overall, the EU would like to know which other national regulations are going to remain in force in order to complement missing aspects of this draft technical regulation.</w:t>
            </w:r>
          </w:p>
          <w:p w:rsidR="00F60993" w:rsidRPr="00F05FF5" w:rsidRDefault="00F60993" w:rsidP="00F60993">
            <w:pPr>
              <w:autoSpaceDE w:val="0"/>
              <w:autoSpaceDN w:val="0"/>
              <w:adjustRightInd w:val="0"/>
              <w:rPr>
                <w:sz w:val="24"/>
                <w:szCs w:val="24"/>
                <w:lang w:val="en-US" w:eastAsia="en-US"/>
              </w:rPr>
            </w:pPr>
            <w:r w:rsidRPr="00F05FF5">
              <w:rPr>
                <w:rFonts w:eastAsiaTheme="minorHAnsi"/>
                <w:sz w:val="24"/>
                <w:szCs w:val="24"/>
                <w:lang w:val="en-US" w:eastAsia="en-US"/>
              </w:rPr>
              <w:t>The European Union would be grateful, if the above comments could be taken into account by the Salvadorian authorities and would welcome receiving a reply on the issues raised.</w:t>
            </w:r>
          </w:p>
        </w:tc>
        <w:tc>
          <w:tcPr>
            <w:tcW w:w="0" w:type="auto"/>
            <w:shd w:val="clear" w:color="auto" w:fill="auto"/>
            <w:vAlign w:val="center"/>
          </w:tcPr>
          <w:p w:rsidR="00135190" w:rsidRPr="00F05FF5" w:rsidRDefault="00135190" w:rsidP="00F03E14">
            <w:pPr>
              <w:jc w:val="both"/>
              <w:rPr>
                <w:sz w:val="24"/>
                <w:szCs w:val="24"/>
                <w:lang w:val="es-CR" w:eastAsia="en-US"/>
              </w:rPr>
            </w:pPr>
          </w:p>
        </w:tc>
        <w:tc>
          <w:tcPr>
            <w:tcW w:w="0" w:type="auto"/>
            <w:shd w:val="clear" w:color="auto" w:fill="auto"/>
            <w:vAlign w:val="center"/>
          </w:tcPr>
          <w:p w:rsidR="00F60993" w:rsidRPr="00F05FF5" w:rsidRDefault="00F60993" w:rsidP="00B206B3">
            <w:pPr>
              <w:jc w:val="center"/>
              <w:rPr>
                <w:b/>
                <w:sz w:val="24"/>
                <w:szCs w:val="24"/>
                <w:lang w:val="es-CR" w:eastAsia="en-US"/>
              </w:rPr>
            </w:pPr>
          </w:p>
        </w:tc>
      </w:tr>
      <w:tr w:rsidR="00F05FF5" w:rsidRPr="00F05FF5" w:rsidTr="00E70AB2">
        <w:tc>
          <w:tcPr>
            <w:tcW w:w="0" w:type="auto"/>
            <w:gridSpan w:val="5"/>
            <w:shd w:val="clear" w:color="auto" w:fill="auto"/>
            <w:vAlign w:val="center"/>
          </w:tcPr>
          <w:p w:rsidR="00F05FF5" w:rsidRPr="00F05FF5" w:rsidRDefault="00F05FF5" w:rsidP="00B206B3">
            <w:pPr>
              <w:jc w:val="center"/>
              <w:rPr>
                <w:b/>
                <w:sz w:val="44"/>
                <w:szCs w:val="24"/>
                <w:lang w:val="es-CR" w:eastAsia="en-US"/>
              </w:rPr>
            </w:pPr>
            <w:r w:rsidRPr="00F05FF5">
              <w:rPr>
                <w:b/>
                <w:sz w:val="44"/>
                <w:szCs w:val="24"/>
                <w:lang w:val="es-CR" w:eastAsia="en-US"/>
              </w:rPr>
              <w:t>FIN DE LAS OBSERVACIONES</w:t>
            </w:r>
          </w:p>
        </w:tc>
      </w:tr>
    </w:tbl>
    <w:p w:rsidR="006E2DCE" w:rsidRPr="00135190" w:rsidRDefault="006E2DCE" w:rsidP="006E2DCE">
      <w:pPr>
        <w:rPr>
          <w:sz w:val="22"/>
          <w:szCs w:val="22"/>
          <w:lang w:val="es-CR"/>
        </w:rPr>
      </w:pPr>
    </w:p>
    <w:p w:rsidR="00E528CA" w:rsidRPr="00135190" w:rsidRDefault="00E528CA" w:rsidP="006E2DCE">
      <w:pPr>
        <w:rPr>
          <w:sz w:val="22"/>
          <w:szCs w:val="22"/>
          <w:lang w:val="es-CR"/>
        </w:rPr>
      </w:pPr>
    </w:p>
    <w:p w:rsidR="00E528CA" w:rsidRPr="00135190" w:rsidRDefault="00E528CA" w:rsidP="006E2DCE">
      <w:pPr>
        <w:rPr>
          <w:sz w:val="22"/>
          <w:szCs w:val="22"/>
          <w:lang w:val="es-CR"/>
        </w:rPr>
      </w:pPr>
    </w:p>
    <w:p w:rsidR="00E528CA" w:rsidRPr="00135190" w:rsidRDefault="00E528CA" w:rsidP="006E2DCE">
      <w:pPr>
        <w:rPr>
          <w:sz w:val="22"/>
          <w:szCs w:val="22"/>
          <w:lang w:val="es-CR"/>
        </w:rPr>
      </w:pPr>
    </w:p>
    <w:sectPr w:rsidR="00E528CA" w:rsidRPr="00135190" w:rsidSect="00651D7C">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69" w:rsidRDefault="002B0869" w:rsidP="00EB3AE6">
      <w:r>
        <w:separator/>
      </w:r>
    </w:p>
  </w:endnote>
  <w:endnote w:type="continuationSeparator" w:id="0">
    <w:p w:rsidR="002B0869" w:rsidRDefault="002B0869" w:rsidP="00EB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69" w:rsidRDefault="002B0869" w:rsidP="00EB3AE6">
      <w:r>
        <w:separator/>
      </w:r>
    </w:p>
  </w:footnote>
  <w:footnote w:type="continuationSeparator" w:id="0">
    <w:p w:rsidR="002B0869" w:rsidRDefault="002B0869" w:rsidP="00EB3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28E8"/>
    <w:multiLevelType w:val="hybridMultilevel"/>
    <w:tmpl w:val="0C50BC3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
    <w:nsid w:val="1A34732A"/>
    <w:multiLevelType w:val="hybridMultilevel"/>
    <w:tmpl w:val="9A6A7F0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nsid w:val="351F3190"/>
    <w:multiLevelType w:val="hybridMultilevel"/>
    <w:tmpl w:val="E1F63CD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63D5AE5"/>
    <w:multiLevelType w:val="hybridMultilevel"/>
    <w:tmpl w:val="41D01712"/>
    <w:lvl w:ilvl="0" w:tplc="B9848CC8">
      <w:numFmt w:val="bullet"/>
      <w:lvlText w:val="-"/>
      <w:lvlJc w:val="left"/>
      <w:pPr>
        <w:ind w:left="720" w:hanging="360"/>
      </w:pPr>
      <w:rPr>
        <w:rFonts w:ascii="Calibri" w:eastAsia="Calibri" w:hAnsi="Calibri"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47612074"/>
    <w:multiLevelType w:val="hybridMultilevel"/>
    <w:tmpl w:val="A9B61C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E804C05"/>
    <w:multiLevelType w:val="hybridMultilevel"/>
    <w:tmpl w:val="A9B61C2C"/>
    <w:lvl w:ilvl="0" w:tplc="140A000F">
      <w:start w:val="1"/>
      <w:numFmt w:val="decimal"/>
      <w:lvlText w:val="%1."/>
      <w:lvlJc w:val="left"/>
      <w:pPr>
        <w:ind w:left="785"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5CE16631"/>
    <w:multiLevelType w:val="hybridMultilevel"/>
    <w:tmpl w:val="71E024C6"/>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
    <w:nsid w:val="736F287F"/>
    <w:multiLevelType w:val="hybridMultilevel"/>
    <w:tmpl w:val="A2CAD16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8">
    <w:nsid w:val="76D474B2"/>
    <w:multiLevelType w:val="hybridMultilevel"/>
    <w:tmpl w:val="9086C70C"/>
    <w:lvl w:ilvl="0" w:tplc="CE2E3D0E">
      <w:start w:val="4"/>
      <w:numFmt w:val="decimal"/>
      <w:lvlText w:val="%1."/>
      <w:lvlJc w:val="left"/>
      <w:pPr>
        <w:ind w:left="1145" w:hanging="360"/>
      </w:pPr>
      <w:rPr>
        <w:rFonts w:hint="default"/>
        <w:b/>
      </w:r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num w:numId="1">
    <w:abstractNumId w:val="7"/>
  </w:num>
  <w:num w:numId="2">
    <w:abstractNumId w:val="0"/>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CE"/>
    <w:rsid w:val="00001292"/>
    <w:rsid w:val="0002443C"/>
    <w:rsid w:val="00043D12"/>
    <w:rsid w:val="00043D26"/>
    <w:rsid w:val="00066461"/>
    <w:rsid w:val="000755DE"/>
    <w:rsid w:val="00082627"/>
    <w:rsid w:val="000A2ABA"/>
    <w:rsid w:val="000C6EEB"/>
    <w:rsid w:val="000D0E66"/>
    <w:rsid w:val="000D0EDB"/>
    <w:rsid w:val="001041BC"/>
    <w:rsid w:val="0011224C"/>
    <w:rsid w:val="00112543"/>
    <w:rsid w:val="00135190"/>
    <w:rsid w:val="00176AA5"/>
    <w:rsid w:val="00180833"/>
    <w:rsid w:val="001A0827"/>
    <w:rsid w:val="001A1F8E"/>
    <w:rsid w:val="001B6AD1"/>
    <w:rsid w:val="001C7CD0"/>
    <w:rsid w:val="001D0406"/>
    <w:rsid w:val="001D3CF5"/>
    <w:rsid w:val="001D5EA5"/>
    <w:rsid w:val="001E38BC"/>
    <w:rsid w:val="001E57F2"/>
    <w:rsid w:val="00231AC2"/>
    <w:rsid w:val="00255041"/>
    <w:rsid w:val="00280762"/>
    <w:rsid w:val="002840C6"/>
    <w:rsid w:val="00290673"/>
    <w:rsid w:val="002A2A08"/>
    <w:rsid w:val="002B0869"/>
    <w:rsid w:val="002B40C3"/>
    <w:rsid w:val="002B7A7D"/>
    <w:rsid w:val="002E00DE"/>
    <w:rsid w:val="002E467D"/>
    <w:rsid w:val="002F6029"/>
    <w:rsid w:val="003044C4"/>
    <w:rsid w:val="003225B3"/>
    <w:rsid w:val="00344A88"/>
    <w:rsid w:val="003928E0"/>
    <w:rsid w:val="00393487"/>
    <w:rsid w:val="003A1BB5"/>
    <w:rsid w:val="003B29FD"/>
    <w:rsid w:val="003B608E"/>
    <w:rsid w:val="003C72C0"/>
    <w:rsid w:val="003E6480"/>
    <w:rsid w:val="003F4908"/>
    <w:rsid w:val="003F5921"/>
    <w:rsid w:val="004041D8"/>
    <w:rsid w:val="00424881"/>
    <w:rsid w:val="0046455B"/>
    <w:rsid w:val="004659F3"/>
    <w:rsid w:val="00490F40"/>
    <w:rsid w:val="00492F0A"/>
    <w:rsid w:val="004A4CD4"/>
    <w:rsid w:val="00524516"/>
    <w:rsid w:val="00540715"/>
    <w:rsid w:val="00540B7B"/>
    <w:rsid w:val="00567481"/>
    <w:rsid w:val="00575439"/>
    <w:rsid w:val="00575820"/>
    <w:rsid w:val="00580B45"/>
    <w:rsid w:val="00592C6F"/>
    <w:rsid w:val="005A1A85"/>
    <w:rsid w:val="005B10F5"/>
    <w:rsid w:val="005E0CE6"/>
    <w:rsid w:val="005F3481"/>
    <w:rsid w:val="005F7BD1"/>
    <w:rsid w:val="00602F75"/>
    <w:rsid w:val="0060641B"/>
    <w:rsid w:val="00622535"/>
    <w:rsid w:val="00633638"/>
    <w:rsid w:val="0064150E"/>
    <w:rsid w:val="00651D7C"/>
    <w:rsid w:val="00652241"/>
    <w:rsid w:val="00655D27"/>
    <w:rsid w:val="00673CBB"/>
    <w:rsid w:val="006778A7"/>
    <w:rsid w:val="0068551A"/>
    <w:rsid w:val="006D06BB"/>
    <w:rsid w:val="006E2DCE"/>
    <w:rsid w:val="006E36BD"/>
    <w:rsid w:val="006F1313"/>
    <w:rsid w:val="006F671A"/>
    <w:rsid w:val="00700FF7"/>
    <w:rsid w:val="007105E4"/>
    <w:rsid w:val="007446D2"/>
    <w:rsid w:val="007560F7"/>
    <w:rsid w:val="00762950"/>
    <w:rsid w:val="00787B57"/>
    <w:rsid w:val="007A0243"/>
    <w:rsid w:val="007A5922"/>
    <w:rsid w:val="007A61F0"/>
    <w:rsid w:val="007C2EDB"/>
    <w:rsid w:val="007D2C45"/>
    <w:rsid w:val="007D446B"/>
    <w:rsid w:val="007E0B52"/>
    <w:rsid w:val="007F1E3E"/>
    <w:rsid w:val="007F4D97"/>
    <w:rsid w:val="007F7BC9"/>
    <w:rsid w:val="00805736"/>
    <w:rsid w:val="008075AD"/>
    <w:rsid w:val="008324CD"/>
    <w:rsid w:val="008364DD"/>
    <w:rsid w:val="00853D2E"/>
    <w:rsid w:val="00880A62"/>
    <w:rsid w:val="00883A8E"/>
    <w:rsid w:val="00890FB0"/>
    <w:rsid w:val="00896EAD"/>
    <w:rsid w:val="008A484B"/>
    <w:rsid w:val="008A6D2C"/>
    <w:rsid w:val="008B05F4"/>
    <w:rsid w:val="008C23BE"/>
    <w:rsid w:val="00907DCC"/>
    <w:rsid w:val="00910F00"/>
    <w:rsid w:val="0091163F"/>
    <w:rsid w:val="009168EA"/>
    <w:rsid w:val="00916C47"/>
    <w:rsid w:val="00917A9B"/>
    <w:rsid w:val="00934364"/>
    <w:rsid w:val="00952B14"/>
    <w:rsid w:val="00962527"/>
    <w:rsid w:val="00977BC5"/>
    <w:rsid w:val="00986EF7"/>
    <w:rsid w:val="00991241"/>
    <w:rsid w:val="00997790"/>
    <w:rsid w:val="009B07A1"/>
    <w:rsid w:val="009F6D70"/>
    <w:rsid w:val="00A00DB8"/>
    <w:rsid w:val="00A01880"/>
    <w:rsid w:val="00A06552"/>
    <w:rsid w:val="00A11EFE"/>
    <w:rsid w:val="00A12D9A"/>
    <w:rsid w:val="00A12E1E"/>
    <w:rsid w:val="00A360DF"/>
    <w:rsid w:val="00A57040"/>
    <w:rsid w:val="00A72CFE"/>
    <w:rsid w:val="00A74C3F"/>
    <w:rsid w:val="00A77113"/>
    <w:rsid w:val="00A81B44"/>
    <w:rsid w:val="00AB2828"/>
    <w:rsid w:val="00AB3158"/>
    <w:rsid w:val="00AC248D"/>
    <w:rsid w:val="00AD0E62"/>
    <w:rsid w:val="00AD666D"/>
    <w:rsid w:val="00AE3B33"/>
    <w:rsid w:val="00B11831"/>
    <w:rsid w:val="00B2040F"/>
    <w:rsid w:val="00B206B3"/>
    <w:rsid w:val="00B3271A"/>
    <w:rsid w:val="00B344E1"/>
    <w:rsid w:val="00B36E43"/>
    <w:rsid w:val="00B45483"/>
    <w:rsid w:val="00B54E20"/>
    <w:rsid w:val="00B65DDE"/>
    <w:rsid w:val="00B70583"/>
    <w:rsid w:val="00B7524F"/>
    <w:rsid w:val="00B77E0C"/>
    <w:rsid w:val="00BB1B4F"/>
    <w:rsid w:val="00BB290E"/>
    <w:rsid w:val="00BB46C9"/>
    <w:rsid w:val="00BB5925"/>
    <w:rsid w:val="00BE1932"/>
    <w:rsid w:val="00BF1F57"/>
    <w:rsid w:val="00C07D1F"/>
    <w:rsid w:val="00C14F6C"/>
    <w:rsid w:val="00C172EC"/>
    <w:rsid w:val="00C17738"/>
    <w:rsid w:val="00C20F8D"/>
    <w:rsid w:val="00C226CD"/>
    <w:rsid w:val="00C369D1"/>
    <w:rsid w:val="00C40933"/>
    <w:rsid w:val="00C4748B"/>
    <w:rsid w:val="00C47B7D"/>
    <w:rsid w:val="00C53B2A"/>
    <w:rsid w:val="00C61159"/>
    <w:rsid w:val="00CA04B9"/>
    <w:rsid w:val="00CB38B7"/>
    <w:rsid w:val="00CD3AF8"/>
    <w:rsid w:val="00CE6CD2"/>
    <w:rsid w:val="00D13D1F"/>
    <w:rsid w:val="00D21AD9"/>
    <w:rsid w:val="00D24DB9"/>
    <w:rsid w:val="00D25FFC"/>
    <w:rsid w:val="00D33123"/>
    <w:rsid w:val="00D35F8F"/>
    <w:rsid w:val="00D80EF2"/>
    <w:rsid w:val="00D97328"/>
    <w:rsid w:val="00DB0AA6"/>
    <w:rsid w:val="00DB2D78"/>
    <w:rsid w:val="00DB5AF2"/>
    <w:rsid w:val="00DD6A60"/>
    <w:rsid w:val="00DE601F"/>
    <w:rsid w:val="00DF1758"/>
    <w:rsid w:val="00DF184F"/>
    <w:rsid w:val="00DF1E47"/>
    <w:rsid w:val="00E013E8"/>
    <w:rsid w:val="00E1433B"/>
    <w:rsid w:val="00E202B4"/>
    <w:rsid w:val="00E42A98"/>
    <w:rsid w:val="00E528CA"/>
    <w:rsid w:val="00E62926"/>
    <w:rsid w:val="00E975B5"/>
    <w:rsid w:val="00EA3F57"/>
    <w:rsid w:val="00EB3AE6"/>
    <w:rsid w:val="00EC02F9"/>
    <w:rsid w:val="00EC561E"/>
    <w:rsid w:val="00ED5BC0"/>
    <w:rsid w:val="00EE052D"/>
    <w:rsid w:val="00EF552D"/>
    <w:rsid w:val="00F03E14"/>
    <w:rsid w:val="00F05FF5"/>
    <w:rsid w:val="00F15454"/>
    <w:rsid w:val="00F21C5C"/>
    <w:rsid w:val="00F34996"/>
    <w:rsid w:val="00F37E5D"/>
    <w:rsid w:val="00F54887"/>
    <w:rsid w:val="00F60993"/>
    <w:rsid w:val="00F6278A"/>
    <w:rsid w:val="00F67AF2"/>
    <w:rsid w:val="00F8355E"/>
    <w:rsid w:val="00F90DE2"/>
    <w:rsid w:val="00FA384C"/>
    <w:rsid w:val="00FC0415"/>
    <w:rsid w:val="00FF397D"/>
  </w:rsids>
  <m:mathPr>
    <m:mathFont m:val="Cambria Math"/>
    <m:brkBin m:val="before"/>
    <m:brkBinSub m:val="--"/>
    <m:smallFrac m:val="0"/>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C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6E2DCE"/>
    <w:pPr>
      <w:jc w:val="center"/>
    </w:pPr>
    <w:rPr>
      <w:rFonts w:ascii="Antique Olive" w:hAnsi="Antique Olive"/>
      <w:b/>
      <w:sz w:val="24"/>
      <w:lang w:val="es-GT"/>
    </w:rPr>
  </w:style>
  <w:style w:type="character" w:customStyle="1" w:styleId="TextoindependienteCar">
    <w:name w:val="Texto independiente Car"/>
    <w:basedOn w:val="Fuentedeprrafopredeter"/>
    <w:link w:val="Textoindependiente"/>
    <w:uiPriority w:val="99"/>
    <w:rsid w:val="006E2DCE"/>
    <w:rPr>
      <w:rFonts w:ascii="Antique Olive" w:eastAsia="Times New Roman" w:hAnsi="Antique Olive" w:cs="Times New Roman"/>
      <w:b/>
      <w:sz w:val="24"/>
      <w:szCs w:val="20"/>
      <w:lang w:val="es-GT"/>
    </w:rPr>
  </w:style>
  <w:style w:type="paragraph" w:styleId="Fecha">
    <w:name w:val="Date"/>
    <w:basedOn w:val="Normal"/>
    <w:next w:val="Normal"/>
    <w:link w:val="FechaCar"/>
    <w:uiPriority w:val="99"/>
    <w:rsid w:val="006E2DCE"/>
  </w:style>
  <w:style w:type="character" w:customStyle="1" w:styleId="FechaCar">
    <w:name w:val="Fecha Car"/>
    <w:basedOn w:val="Fuentedeprrafopredeter"/>
    <w:link w:val="Fecha"/>
    <w:uiPriority w:val="99"/>
    <w:rsid w:val="006E2DC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6E2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10F5"/>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0F5"/>
    <w:rPr>
      <w:rFonts w:ascii="Tahoma" w:eastAsia="Times New Roman" w:hAnsi="Tahoma" w:cs="Tahoma"/>
      <w:sz w:val="16"/>
      <w:szCs w:val="16"/>
      <w:lang w:val="es-ES" w:eastAsia="es-ES"/>
    </w:rPr>
  </w:style>
  <w:style w:type="paragraph" w:styleId="Prrafodelista">
    <w:name w:val="List Paragraph"/>
    <w:basedOn w:val="Normal"/>
    <w:uiPriority w:val="34"/>
    <w:qFormat/>
    <w:rsid w:val="002840C6"/>
    <w:pPr>
      <w:ind w:left="720"/>
      <w:contextualSpacing/>
    </w:pPr>
  </w:style>
  <w:style w:type="character" w:customStyle="1" w:styleId="hps">
    <w:name w:val="hps"/>
    <w:basedOn w:val="Fuentedeprrafopredeter"/>
    <w:rsid w:val="00A12D9A"/>
  </w:style>
  <w:style w:type="paragraph" w:styleId="Sinespaciado">
    <w:name w:val="No Spacing"/>
    <w:uiPriority w:val="1"/>
    <w:qFormat/>
    <w:rsid w:val="00EC561E"/>
    <w:pPr>
      <w:spacing w:after="0" w:line="240" w:lineRule="auto"/>
    </w:pPr>
  </w:style>
  <w:style w:type="character" w:customStyle="1" w:styleId="atn">
    <w:name w:val="atn"/>
    <w:basedOn w:val="Fuentedeprrafopredeter"/>
    <w:rsid w:val="00BB46C9"/>
  </w:style>
  <w:style w:type="paragraph" w:customStyle="1" w:styleId="Default">
    <w:name w:val="Default"/>
    <w:rsid w:val="00EB3AE6"/>
    <w:pPr>
      <w:autoSpaceDE w:val="0"/>
      <w:autoSpaceDN w:val="0"/>
      <w:adjustRightInd w:val="0"/>
      <w:spacing w:after="0" w:line="240" w:lineRule="auto"/>
    </w:pPr>
    <w:rPr>
      <w:rFonts w:ascii="Arial" w:hAnsi="Arial" w:cs="Arial"/>
      <w:color w:val="000000"/>
      <w:sz w:val="24"/>
      <w:szCs w:val="24"/>
      <w:lang w:val="es-ES"/>
    </w:rPr>
  </w:style>
  <w:style w:type="paragraph" w:styleId="Textonotapie">
    <w:name w:val="footnote text"/>
    <w:basedOn w:val="Normal"/>
    <w:link w:val="TextonotapieCar"/>
    <w:rsid w:val="00EB3AE6"/>
    <w:rPr>
      <w:lang w:val="en-US" w:eastAsia="en-US"/>
    </w:rPr>
  </w:style>
  <w:style w:type="character" w:customStyle="1" w:styleId="TextonotapieCar">
    <w:name w:val="Texto nota pie Car"/>
    <w:basedOn w:val="Fuentedeprrafopredeter"/>
    <w:link w:val="Textonotapie"/>
    <w:rsid w:val="00EB3AE6"/>
    <w:rPr>
      <w:rFonts w:ascii="Times New Roman" w:eastAsia="Times New Roman" w:hAnsi="Times New Roman" w:cs="Times New Roman"/>
      <w:sz w:val="20"/>
      <w:szCs w:val="20"/>
      <w:lang w:val="en-US"/>
    </w:rPr>
  </w:style>
  <w:style w:type="character" w:styleId="Refdenotaalpie">
    <w:name w:val="footnote reference"/>
    <w:rsid w:val="00EB3A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C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6E2DCE"/>
    <w:pPr>
      <w:jc w:val="center"/>
    </w:pPr>
    <w:rPr>
      <w:rFonts w:ascii="Antique Olive" w:hAnsi="Antique Olive"/>
      <w:b/>
      <w:sz w:val="24"/>
      <w:lang w:val="es-GT"/>
    </w:rPr>
  </w:style>
  <w:style w:type="character" w:customStyle="1" w:styleId="TextoindependienteCar">
    <w:name w:val="Texto independiente Car"/>
    <w:basedOn w:val="Fuentedeprrafopredeter"/>
    <w:link w:val="Textoindependiente"/>
    <w:uiPriority w:val="99"/>
    <w:rsid w:val="006E2DCE"/>
    <w:rPr>
      <w:rFonts w:ascii="Antique Olive" w:eastAsia="Times New Roman" w:hAnsi="Antique Olive" w:cs="Times New Roman"/>
      <w:b/>
      <w:sz w:val="24"/>
      <w:szCs w:val="20"/>
      <w:lang w:val="es-GT"/>
    </w:rPr>
  </w:style>
  <w:style w:type="paragraph" w:styleId="Fecha">
    <w:name w:val="Date"/>
    <w:basedOn w:val="Normal"/>
    <w:next w:val="Normal"/>
    <w:link w:val="FechaCar"/>
    <w:uiPriority w:val="99"/>
    <w:rsid w:val="006E2DCE"/>
  </w:style>
  <w:style w:type="character" w:customStyle="1" w:styleId="FechaCar">
    <w:name w:val="Fecha Car"/>
    <w:basedOn w:val="Fuentedeprrafopredeter"/>
    <w:link w:val="Fecha"/>
    <w:uiPriority w:val="99"/>
    <w:rsid w:val="006E2DC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6E2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10F5"/>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0F5"/>
    <w:rPr>
      <w:rFonts w:ascii="Tahoma" w:eastAsia="Times New Roman" w:hAnsi="Tahoma" w:cs="Tahoma"/>
      <w:sz w:val="16"/>
      <w:szCs w:val="16"/>
      <w:lang w:val="es-ES" w:eastAsia="es-ES"/>
    </w:rPr>
  </w:style>
  <w:style w:type="paragraph" w:styleId="Prrafodelista">
    <w:name w:val="List Paragraph"/>
    <w:basedOn w:val="Normal"/>
    <w:uiPriority w:val="34"/>
    <w:qFormat/>
    <w:rsid w:val="002840C6"/>
    <w:pPr>
      <w:ind w:left="720"/>
      <w:contextualSpacing/>
    </w:pPr>
  </w:style>
  <w:style w:type="character" w:customStyle="1" w:styleId="hps">
    <w:name w:val="hps"/>
    <w:basedOn w:val="Fuentedeprrafopredeter"/>
    <w:rsid w:val="00A12D9A"/>
  </w:style>
  <w:style w:type="paragraph" w:styleId="Sinespaciado">
    <w:name w:val="No Spacing"/>
    <w:uiPriority w:val="1"/>
    <w:qFormat/>
    <w:rsid w:val="00EC561E"/>
    <w:pPr>
      <w:spacing w:after="0" w:line="240" w:lineRule="auto"/>
    </w:pPr>
  </w:style>
  <w:style w:type="character" w:customStyle="1" w:styleId="atn">
    <w:name w:val="atn"/>
    <w:basedOn w:val="Fuentedeprrafopredeter"/>
    <w:rsid w:val="00BB46C9"/>
  </w:style>
  <w:style w:type="paragraph" w:customStyle="1" w:styleId="Default">
    <w:name w:val="Default"/>
    <w:rsid w:val="00EB3AE6"/>
    <w:pPr>
      <w:autoSpaceDE w:val="0"/>
      <w:autoSpaceDN w:val="0"/>
      <w:adjustRightInd w:val="0"/>
      <w:spacing w:after="0" w:line="240" w:lineRule="auto"/>
    </w:pPr>
    <w:rPr>
      <w:rFonts w:ascii="Arial" w:hAnsi="Arial" w:cs="Arial"/>
      <w:color w:val="000000"/>
      <w:sz w:val="24"/>
      <w:szCs w:val="24"/>
      <w:lang w:val="es-ES"/>
    </w:rPr>
  </w:style>
  <w:style w:type="paragraph" w:styleId="Textonotapie">
    <w:name w:val="footnote text"/>
    <w:basedOn w:val="Normal"/>
    <w:link w:val="TextonotapieCar"/>
    <w:rsid w:val="00EB3AE6"/>
    <w:rPr>
      <w:lang w:val="en-US" w:eastAsia="en-US"/>
    </w:rPr>
  </w:style>
  <w:style w:type="character" w:customStyle="1" w:styleId="TextonotapieCar">
    <w:name w:val="Texto nota pie Car"/>
    <w:basedOn w:val="Fuentedeprrafopredeter"/>
    <w:link w:val="Textonotapie"/>
    <w:rsid w:val="00EB3AE6"/>
    <w:rPr>
      <w:rFonts w:ascii="Times New Roman" w:eastAsia="Times New Roman" w:hAnsi="Times New Roman" w:cs="Times New Roman"/>
      <w:sz w:val="20"/>
      <w:szCs w:val="20"/>
      <w:lang w:val="en-US"/>
    </w:rPr>
  </w:style>
  <w:style w:type="character" w:styleId="Refdenotaalpie">
    <w:name w:val="footnote reference"/>
    <w:rsid w:val="00EB3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5385">
      <w:bodyDiv w:val="1"/>
      <w:marLeft w:val="0"/>
      <w:marRight w:val="0"/>
      <w:marTop w:val="0"/>
      <w:marBottom w:val="0"/>
      <w:divBdr>
        <w:top w:val="none" w:sz="0" w:space="0" w:color="auto"/>
        <w:left w:val="none" w:sz="0" w:space="0" w:color="auto"/>
        <w:bottom w:val="none" w:sz="0" w:space="0" w:color="auto"/>
        <w:right w:val="none" w:sz="0" w:space="0" w:color="auto"/>
      </w:divBdr>
    </w:div>
    <w:div w:id="729308589">
      <w:bodyDiv w:val="1"/>
      <w:marLeft w:val="0"/>
      <w:marRight w:val="0"/>
      <w:marTop w:val="0"/>
      <w:marBottom w:val="0"/>
      <w:divBdr>
        <w:top w:val="none" w:sz="0" w:space="0" w:color="auto"/>
        <w:left w:val="none" w:sz="0" w:space="0" w:color="auto"/>
        <w:bottom w:val="none" w:sz="0" w:space="0" w:color="auto"/>
        <w:right w:val="none" w:sz="0" w:space="0" w:color="auto"/>
      </w:divBdr>
      <w:divsChild>
        <w:div w:id="242225711">
          <w:marLeft w:val="0"/>
          <w:marRight w:val="0"/>
          <w:marTop w:val="0"/>
          <w:marBottom w:val="0"/>
          <w:divBdr>
            <w:top w:val="none" w:sz="0" w:space="0" w:color="auto"/>
            <w:left w:val="none" w:sz="0" w:space="0" w:color="auto"/>
            <w:bottom w:val="none" w:sz="0" w:space="0" w:color="auto"/>
            <w:right w:val="none" w:sz="0" w:space="0" w:color="auto"/>
          </w:divBdr>
          <w:divsChild>
            <w:div w:id="610623004">
              <w:marLeft w:val="0"/>
              <w:marRight w:val="0"/>
              <w:marTop w:val="0"/>
              <w:marBottom w:val="0"/>
              <w:divBdr>
                <w:top w:val="none" w:sz="0" w:space="0" w:color="auto"/>
                <w:left w:val="none" w:sz="0" w:space="0" w:color="auto"/>
                <w:bottom w:val="none" w:sz="0" w:space="0" w:color="auto"/>
                <w:right w:val="none" w:sz="0" w:space="0" w:color="auto"/>
              </w:divBdr>
              <w:divsChild>
                <w:div w:id="855733704">
                  <w:marLeft w:val="0"/>
                  <w:marRight w:val="0"/>
                  <w:marTop w:val="0"/>
                  <w:marBottom w:val="0"/>
                  <w:divBdr>
                    <w:top w:val="none" w:sz="0" w:space="0" w:color="auto"/>
                    <w:left w:val="none" w:sz="0" w:space="0" w:color="auto"/>
                    <w:bottom w:val="none" w:sz="0" w:space="0" w:color="auto"/>
                    <w:right w:val="none" w:sz="0" w:space="0" w:color="auto"/>
                  </w:divBdr>
                  <w:divsChild>
                    <w:div w:id="1006396291">
                      <w:marLeft w:val="0"/>
                      <w:marRight w:val="0"/>
                      <w:marTop w:val="0"/>
                      <w:marBottom w:val="0"/>
                      <w:divBdr>
                        <w:top w:val="none" w:sz="0" w:space="0" w:color="auto"/>
                        <w:left w:val="none" w:sz="0" w:space="0" w:color="auto"/>
                        <w:bottom w:val="none" w:sz="0" w:space="0" w:color="auto"/>
                        <w:right w:val="none" w:sz="0" w:space="0" w:color="auto"/>
                      </w:divBdr>
                      <w:divsChild>
                        <w:div w:id="224608766">
                          <w:marLeft w:val="0"/>
                          <w:marRight w:val="0"/>
                          <w:marTop w:val="0"/>
                          <w:marBottom w:val="0"/>
                          <w:divBdr>
                            <w:top w:val="none" w:sz="0" w:space="0" w:color="auto"/>
                            <w:left w:val="none" w:sz="0" w:space="0" w:color="auto"/>
                            <w:bottom w:val="none" w:sz="0" w:space="0" w:color="auto"/>
                            <w:right w:val="none" w:sz="0" w:space="0" w:color="auto"/>
                          </w:divBdr>
                          <w:divsChild>
                            <w:div w:id="645669881">
                              <w:marLeft w:val="0"/>
                              <w:marRight w:val="0"/>
                              <w:marTop w:val="0"/>
                              <w:marBottom w:val="0"/>
                              <w:divBdr>
                                <w:top w:val="none" w:sz="0" w:space="0" w:color="auto"/>
                                <w:left w:val="none" w:sz="0" w:space="0" w:color="auto"/>
                                <w:bottom w:val="none" w:sz="0" w:space="0" w:color="auto"/>
                                <w:right w:val="none" w:sz="0" w:space="0" w:color="auto"/>
                              </w:divBdr>
                              <w:divsChild>
                                <w:div w:id="22290535">
                                  <w:marLeft w:val="0"/>
                                  <w:marRight w:val="0"/>
                                  <w:marTop w:val="0"/>
                                  <w:marBottom w:val="0"/>
                                  <w:divBdr>
                                    <w:top w:val="single" w:sz="4" w:space="0" w:color="F5F5F5"/>
                                    <w:left w:val="single" w:sz="4" w:space="0" w:color="F5F5F5"/>
                                    <w:bottom w:val="single" w:sz="4" w:space="0" w:color="F5F5F5"/>
                                    <w:right w:val="single" w:sz="4" w:space="0" w:color="F5F5F5"/>
                                  </w:divBdr>
                                  <w:divsChild>
                                    <w:div w:id="1283029919">
                                      <w:marLeft w:val="0"/>
                                      <w:marRight w:val="0"/>
                                      <w:marTop w:val="0"/>
                                      <w:marBottom w:val="0"/>
                                      <w:divBdr>
                                        <w:top w:val="none" w:sz="0" w:space="0" w:color="auto"/>
                                        <w:left w:val="none" w:sz="0" w:space="0" w:color="auto"/>
                                        <w:bottom w:val="none" w:sz="0" w:space="0" w:color="auto"/>
                                        <w:right w:val="none" w:sz="0" w:space="0" w:color="auto"/>
                                      </w:divBdr>
                                      <w:divsChild>
                                        <w:div w:id="276452373">
                                          <w:marLeft w:val="0"/>
                                          <w:marRight w:val="0"/>
                                          <w:marTop w:val="0"/>
                                          <w:marBottom w:val="0"/>
                                          <w:divBdr>
                                            <w:top w:val="none" w:sz="0" w:space="0" w:color="auto"/>
                                            <w:left w:val="none" w:sz="0" w:space="0" w:color="auto"/>
                                            <w:bottom w:val="none" w:sz="0" w:space="0" w:color="auto"/>
                                            <w:right w:val="none" w:sz="0" w:space="0" w:color="auto"/>
                                          </w:divBdr>
                                        </w:div>
                                      </w:divsChild>
                                    </w:div>
                                    <w:div w:id="561185335">
                                      <w:marLeft w:val="0"/>
                                      <w:marRight w:val="0"/>
                                      <w:marTop w:val="0"/>
                                      <w:marBottom w:val="0"/>
                                      <w:divBdr>
                                        <w:top w:val="none" w:sz="0" w:space="0" w:color="auto"/>
                                        <w:left w:val="none" w:sz="0" w:space="0" w:color="auto"/>
                                        <w:bottom w:val="none" w:sz="0" w:space="0" w:color="auto"/>
                                        <w:right w:val="none" w:sz="0" w:space="0" w:color="auto"/>
                                      </w:divBdr>
                                      <w:divsChild>
                                        <w:div w:id="1108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8799">
      <w:bodyDiv w:val="1"/>
      <w:marLeft w:val="0"/>
      <w:marRight w:val="0"/>
      <w:marTop w:val="0"/>
      <w:marBottom w:val="0"/>
      <w:divBdr>
        <w:top w:val="none" w:sz="0" w:space="0" w:color="auto"/>
        <w:left w:val="none" w:sz="0" w:space="0" w:color="auto"/>
        <w:bottom w:val="none" w:sz="0" w:space="0" w:color="auto"/>
        <w:right w:val="none" w:sz="0" w:space="0" w:color="auto"/>
      </w:divBdr>
      <w:divsChild>
        <w:div w:id="1581986637">
          <w:marLeft w:val="0"/>
          <w:marRight w:val="0"/>
          <w:marTop w:val="0"/>
          <w:marBottom w:val="0"/>
          <w:divBdr>
            <w:top w:val="none" w:sz="0" w:space="0" w:color="auto"/>
            <w:left w:val="none" w:sz="0" w:space="0" w:color="auto"/>
            <w:bottom w:val="none" w:sz="0" w:space="0" w:color="auto"/>
            <w:right w:val="none" w:sz="0" w:space="0" w:color="auto"/>
          </w:divBdr>
          <w:divsChild>
            <w:div w:id="2121022374">
              <w:marLeft w:val="0"/>
              <w:marRight w:val="0"/>
              <w:marTop w:val="0"/>
              <w:marBottom w:val="0"/>
              <w:divBdr>
                <w:top w:val="none" w:sz="0" w:space="0" w:color="auto"/>
                <w:left w:val="none" w:sz="0" w:space="0" w:color="auto"/>
                <w:bottom w:val="none" w:sz="0" w:space="0" w:color="auto"/>
                <w:right w:val="none" w:sz="0" w:space="0" w:color="auto"/>
              </w:divBdr>
              <w:divsChild>
                <w:div w:id="87241231">
                  <w:marLeft w:val="0"/>
                  <w:marRight w:val="0"/>
                  <w:marTop w:val="0"/>
                  <w:marBottom w:val="0"/>
                  <w:divBdr>
                    <w:top w:val="none" w:sz="0" w:space="0" w:color="auto"/>
                    <w:left w:val="none" w:sz="0" w:space="0" w:color="auto"/>
                    <w:bottom w:val="none" w:sz="0" w:space="0" w:color="auto"/>
                    <w:right w:val="none" w:sz="0" w:space="0" w:color="auto"/>
                  </w:divBdr>
                  <w:divsChild>
                    <w:div w:id="1571228152">
                      <w:marLeft w:val="0"/>
                      <w:marRight w:val="0"/>
                      <w:marTop w:val="0"/>
                      <w:marBottom w:val="0"/>
                      <w:divBdr>
                        <w:top w:val="none" w:sz="0" w:space="0" w:color="auto"/>
                        <w:left w:val="none" w:sz="0" w:space="0" w:color="auto"/>
                        <w:bottom w:val="none" w:sz="0" w:space="0" w:color="auto"/>
                        <w:right w:val="none" w:sz="0" w:space="0" w:color="auto"/>
                      </w:divBdr>
                      <w:divsChild>
                        <w:div w:id="1463383538">
                          <w:marLeft w:val="0"/>
                          <w:marRight w:val="0"/>
                          <w:marTop w:val="0"/>
                          <w:marBottom w:val="0"/>
                          <w:divBdr>
                            <w:top w:val="none" w:sz="0" w:space="0" w:color="auto"/>
                            <w:left w:val="none" w:sz="0" w:space="0" w:color="auto"/>
                            <w:bottom w:val="none" w:sz="0" w:space="0" w:color="auto"/>
                            <w:right w:val="none" w:sz="0" w:space="0" w:color="auto"/>
                          </w:divBdr>
                          <w:divsChild>
                            <w:div w:id="542865018">
                              <w:marLeft w:val="0"/>
                              <w:marRight w:val="0"/>
                              <w:marTop w:val="0"/>
                              <w:marBottom w:val="0"/>
                              <w:divBdr>
                                <w:top w:val="none" w:sz="0" w:space="0" w:color="auto"/>
                                <w:left w:val="none" w:sz="0" w:space="0" w:color="auto"/>
                                <w:bottom w:val="none" w:sz="0" w:space="0" w:color="auto"/>
                                <w:right w:val="none" w:sz="0" w:space="0" w:color="auto"/>
                              </w:divBdr>
                              <w:divsChild>
                                <w:div w:id="41289349">
                                  <w:marLeft w:val="0"/>
                                  <w:marRight w:val="0"/>
                                  <w:marTop w:val="0"/>
                                  <w:marBottom w:val="0"/>
                                  <w:divBdr>
                                    <w:top w:val="none" w:sz="0" w:space="0" w:color="auto"/>
                                    <w:left w:val="none" w:sz="0" w:space="0" w:color="auto"/>
                                    <w:bottom w:val="none" w:sz="0" w:space="0" w:color="auto"/>
                                    <w:right w:val="none" w:sz="0" w:space="0" w:color="auto"/>
                                  </w:divBdr>
                                  <w:divsChild>
                                    <w:div w:id="1702393527">
                                      <w:marLeft w:val="0"/>
                                      <w:marRight w:val="0"/>
                                      <w:marTop w:val="0"/>
                                      <w:marBottom w:val="0"/>
                                      <w:divBdr>
                                        <w:top w:val="single" w:sz="4" w:space="0" w:color="F5F5F5"/>
                                        <w:left w:val="single" w:sz="4" w:space="0" w:color="F5F5F5"/>
                                        <w:bottom w:val="single" w:sz="4" w:space="0" w:color="F5F5F5"/>
                                        <w:right w:val="single" w:sz="4" w:space="0" w:color="F5F5F5"/>
                                      </w:divBdr>
                                      <w:divsChild>
                                        <w:div w:id="1629895868">
                                          <w:marLeft w:val="0"/>
                                          <w:marRight w:val="0"/>
                                          <w:marTop w:val="0"/>
                                          <w:marBottom w:val="0"/>
                                          <w:divBdr>
                                            <w:top w:val="none" w:sz="0" w:space="0" w:color="auto"/>
                                            <w:left w:val="none" w:sz="0" w:space="0" w:color="auto"/>
                                            <w:bottom w:val="none" w:sz="0" w:space="0" w:color="auto"/>
                                            <w:right w:val="none" w:sz="0" w:space="0" w:color="auto"/>
                                          </w:divBdr>
                                          <w:divsChild>
                                            <w:div w:id="1883058719">
                                              <w:marLeft w:val="0"/>
                                              <w:marRight w:val="0"/>
                                              <w:marTop w:val="0"/>
                                              <w:marBottom w:val="0"/>
                                              <w:divBdr>
                                                <w:top w:val="none" w:sz="0" w:space="0" w:color="auto"/>
                                                <w:left w:val="none" w:sz="0" w:space="0" w:color="auto"/>
                                                <w:bottom w:val="none" w:sz="0" w:space="0" w:color="auto"/>
                                                <w:right w:val="none" w:sz="0" w:space="0" w:color="auto"/>
                                              </w:divBdr>
                                            </w:div>
                                          </w:divsChild>
                                        </w:div>
                                        <w:div w:id="511995157">
                                          <w:marLeft w:val="0"/>
                                          <w:marRight w:val="0"/>
                                          <w:marTop w:val="0"/>
                                          <w:marBottom w:val="0"/>
                                          <w:divBdr>
                                            <w:top w:val="none" w:sz="0" w:space="0" w:color="auto"/>
                                            <w:left w:val="none" w:sz="0" w:space="0" w:color="auto"/>
                                            <w:bottom w:val="none" w:sz="0" w:space="0" w:color="auto"/>
                                            <w:right w:val="none" w:sz="0" w:space="0" w:color="auto"/>
                                          </w:divBdr>
                                          <w:divsChild>
                                            <w:div w:id="8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027331">
      <w:bodyDiv w:val="1"/>
      <w:marLeft w:val="0"/>
      <w:marRight w:val="0"/>
      <w:marTop w:val="0"/>
      <w:marBottom w:val="0"/>
      <w:divBdr>
        <w:top w:val="none" w:sz="0" w:space="0" w:color="auto"/>
        <w:left w:val="none" w:sz="0" w:space="0" w:color="auto"/>
        <w:bottom w:val="none" w:sz="0" w:space="0" w:color="auto"/>
        <w:right w:val="none" w:sz="0" w:space="0" w:color="auto"/>
      </w:divBdr>
      <w:divsChild>
        <w:div w:id="1238589920">
          <w:marLeft w:val="0"/>
          <w:marRight w:val="0"/>
          <w:marTop w:val="0"/>
          <w:marBottom w:val="0"/>
          <w:divBdr>
            <w:top w:val="none" w:sz="0" w:space="0" w:color="auto"/>
            <w:left w:val="none" w:sz="0" w:space="0" w:color="auto"/>
            <w:bottom w:val="none" w:sz="0" w:space="0" w:color="auto"/>
            <w:right w:val="none" w:sz="0" w:space="0" w:color="auto"/>
          </w:divBdr>
          <w:divsChild>
            <w:div w:id="736242549">
              <w:marLeft w:val="0"/>
              <w:marRight w:val="0"/>
              <w:marTop w:val="0"/>
              <w:marBottom w:val="0"/>
              <w:divBdr>
                <w:top w:val="none" w:sz="0" w:space="0" w:color="auto"/>
                <w:left w:val="none" w:sz="0" w:space="0" w:color="auto"/>
                <w:bottom w:val="none" w:sz="0" w:space="0" w:color="auto"/>
                <w:right w:val="none" w:sz="0" w:space="0" w:color="auto"/>
              </w:divBdr>
              <w:divsChild>
                <w:div w:id="1011956868">
                  <w:marLeft w:val="0"/>
                  <w:marRight w:val="0"/>
                  <w:marTop w:val="0"/>
                  <w:marBottom w:val="0"/>
                  <w:divBdr>
                    <w:top w:val="none" w:sz="0" w:space="0" w:color="auto"/>
                    <w:left w:val="none" w:sz="0" w:space="0" w:color="auto"/>
                    <w:bottom w:val="none" w:sz="0" w:space="0" w:color="auto"/>
                    <w:right w:val="none" w:sz="0" w:space="0" w:color="auto"/>
                  </w:divBdr>
                  <w:divsChild>
                    <w:div w:id="1523280201">
                      <w:marLeft w:val="0"/>
                      <w:marRight w:val="0"/>
                      <w:marTop w:val="0"/>
                      <w:marBottom w:val="0"/>
                      <w:divBdr>
                        <w:top w:val="none" w:sz="0" w:space="0" w:color="auto"/>
                        <w:left w:val="none" w:sz="0" w:space="0" w:color="auto"/>
                        <w:bottom w:val="none" w:sz="0" w:space="0" w:color="auto"/>
                        <w:right w:val="none" w:sz="0" w:space="0" w:color="auto"/>
                      </w:divBdr>
                      <w:divsChild>
                        <w:div w:id="793476537">
                          <w:marLeft w:val="0"/>
                          <w:marRight w:val="0"/>
                          <w:marTop w:val="0"/>
                          <w:marBottom w:val="0"/>
                          <w:divBdr>
                            <w:top w:val="none" w:sz="0" w:space="0" w:color="auto"/>
                            <w:left w:val="none" w:sz="0" w:space="0" w:color="auto"/>
                            <w:bottom w:val="none" w:sz="0" w:space="0" w:color="auto"/>
                            <w:right w:val="none" w:sz="0" w:space="0" w:color="auto"/>
                          </w:divBdr>
                          <w:divsChild>
                            <w:div w:id="1753354759">
                              <w:marLeft w:val="0"/>
                              <w:marRight w:val="0"/>
                              <w:marTop w:val="0"/>
                              <w:marBottom w:val="0"/>
                              <w:divBdr>
                                <w:top w:val="none" w:sz="0" w:space="0" w:color="auto"/>
                                <w:left w:val="none" w:sz="0" w:space="0" w:color="auto"/>
                                <w:bottom w:val="none" w:sz="0" w:space="0" w:color="auto"/>
                                <w:right w:val="none" w:sz="0" w:space="0" w:color="auto"/>
                              </w:divBdr>
                              <w:divsChild>
                                <w:div w:id="1038966753">
                                  <w:marLeft w:val="0"/>
                                  <w:marRight w:val="0"/>
                                  <w:marTop w:val="0"/>
                                  <w:marBottom w:val="0"/>
                                  <w:divBdr>
                                    <w:top w:val="single" w:sz="4" w:space="0" w:color="F5F5F5"/>
                                    <w:left w:val="single" w:sz="4" w:space="0" w:color="F5F5F5"/>
                                    <w:bottom w:val="single" w:sz="4" w:space="0" w:color="F5F5F5"/>
                                    <w:right w:val="single" w:sz="4" w:space="0" w:color="F5F5F5"/>
                                  </w:divBdr>
                                  <w:divsChild>
                                    <w:div w:id="1292595652">
                                      <w:marLeft w:val="0"/>
                                      <w:marRight w:val="0"/>
                                      <w:marTop w:val="0"/>
                                      <w:marBottom w:val="0"/>
                                      <w:divBdr>
                                        <w:top w:val="none" w:sz="0" w:space="0" w:color="auto"/>
                                        <w:left w:val="none" w:sz="0" w:space="0" w:color="auto"/>
                                        <w:bottom w:val="none" w:sz="0" w:space="0" w:color="auto"/>
                                        <w:right w:val="none" w:sz="0" w:space="0" w:color="auto"/>
                                      </w:divBdr>
                                      <w:divsChild>
                                        <w:div w:id="661811063">
                                          <w:marLeft w:val="0"/>
                                          <w:marRight w:val="0"/>
                                          <w:marTop w:val="0"/>
                                          <w:marBottom w:val="0"/>
                                          <w:divBdr>
                                            <w:top w:val="none" w:sz="0" w:space="0" w:color="auto"/>
                                            <w:left w:val="none" w:sz="0" w:space="0" w:color="auto"/>
                                            <w:bottom w:val="none" w:sz="0" w:space="0" w:color="auto"/>
                                            <w:right w:val="none" w:sz="0" w:space="0" w:color="auto"/>
                                          </w:divBdr>
                                        </w:div>
                                      </w:divsChild>
                                    </w:div>
                                    <w:div w:id="1463963768">
                                      <w:marLeft w:val="0"/>
                                      <w:marRight w:val="0"/>
                                      <w:marTop w:val="0"/>
                                      <w:marBottom w:val="0"/>
                                      <w:divBdr>
                                        <w:top w:val="none" w:sz="0" w:space="0" w:color="auto"/>
                                        <w:left w:val="none" w:sz="0" w:space="0" w:color="auto"/>
                                        <w:bottom w:val="none" w:sz="0" w:space="0" w:color="auto"/>
                                        <w:right w:val="none" w:sz="0" w:space="0" w:color="auto"/>
                                      </w:divBdr>
                                      <w:divsChild>
                                        <w:div w:id="343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252319">
      <w:bodyDiv w:val="1"/>
      <w:marLeft w:val="0"/>
      <w:marRight w:val="0"/>
      <w:marTop w:val="0"/>
      <w:marBottom w:val="0"/>
      <w:divBdr>
        <w:top w:val="none" w:sz="0" w:space="0" w:color="auto"/>
        <w:left w:val="none" w:sz="0" w:space="0" w:color="auto"/>
        <w:bottom w:val="none" w:sz="0" w:space="0" w:color="auto"/>
        <w:right w:val="none" w:sz="0" w:space="0" w:color="auto"/>
      </w:divBdr>
      <w:divsChild>
        <w:div w:id="652684131">
          <w:marLeft w:val="0"/>
          <w:marRight w:val="0"/>
          <w:marTop w:val="0"/>
          <w:marBottom w:val="0"/>
          <w:divBdr>
            <w:top w:val="none" w:sz="0" w:space="0" w:color="auto"/>
            <w:left w:val="none" w:sz="0" w:space="0" w:color="auto"/>
            <w:bottom w:val="none" w:sz="0" w:space="0" w:color="auto"/>
            <w:right w:val="none" w:sz="0" w:space="0" w:color="auto"/>
          </w:divBdr>
          <w:divsChild>
            <w:div w:id="585192975">
              <w:marLeft w:val="0"/>
              <w:marRight w:val="0"/>
              <w:marTop w:val="0"/>
              <w:marBottom w:val="0"/>
              <w:divBdr>
                <w:top w:val="none" w:sz="0" w:space="0" w:color="auto"/>
                <w:left w:val="none" w:sz="0" w:space="0" w:color="auto"/>
                <w:bottom w:val="none" w:sz="0" w:space="0" w:color="auto"/>
                <w:right w:val="none" w:sz="0" w:space="0" w:color="auto"/>
              </w:divBdr>
              <w:divsChild>
                <w:div w:id="2142771166">
                  <w:marLeft w:val="0"/>
                  <w:marRight w:val="0"/>
                  <w:marTop w:val="0"/>
                  <w:marBottom w:val="0"/>
                  <w:divBdr>
                    <w:top w:val="none" w:sz="0" w:space="0" w:color="auto"/>
                    <w:left w:val="none" w:sz="0" w:space="0" w:color="auto"/>
                    <w:bottom w:val="none" w:sz="0" w:space="0" w:color="auto"/>
                    <w:right w:val="none" w:sz="0" w:space="0" w:color="auto"/>
                  </w:divBdr>
                  <w:divsChild>
                    <w:div w:id="439226616">
                      <w:marLeft w:val="0"/>
                      <w:marRight w:val="0"/>
                      <w:marTop w:val="0"/>
                      <w:marBottom w:val="0"/>
                      <w:divBdr>
                        <w:top w:val="none" w:sz="0" w:space="0" w:color="auto"/>
                        <w:left w:val="none" w:sz="0" w:space="0" w:color="auto"/>
                        <w:bottom w:val="none" w:sz="0" w:space="0" w:color="auto"/>
                        <w:right w:val="none" w:sz="0" w:space="0" w:color="auto"/>
                      </w:divBdr>
                      <w:divsChild>
                        <w:div w:id="627053180">
                          <w:marLeft w:val="0"/>
                          <w:marRight w:val="0"/>
                          <w:marTop w:val="0"/>
                          <w:marBottom w:val="0"/>
                          <w:divBdr>
                            <w:top w:val="none" w:sz="0" w:space="0" w:color="auto"/>
                            <w:left w:val="none" w:sz="0" w:space="0" w:color="auto"/>
                            <w:bottom w:val="none" w:sz="0" w:space="0" w:color="auto"/>
                            <w:right w:val="none" w:sz="0" w:space="0" w:color="auto"/>
                          </w:divBdr>
                          <w:divsChild>
                            <w:div w:id="1959752476">
                              <w:marLeft w:val="0"/>
                              <w:marRight w:val="0"/>
                              <w:marTop w:val="0"/>
                              <w:marBottom w:val="0"/>
                              <w:divBdr>
                                <w:top w:val="none" w:sz="0" w:space="0" w:color="auto"/>
                                <w:left w:val="none" w:sz="0" w:space="0" w:color="auto"/>
                                <w:bottom w:val="none" w:sz="0" w:space="0" w:color="auto"/>
                                <w:right w:val="none" w:sz="0" w:space="0" w:color="auto"/>
                              </w:divBdr>
                              <w:divsChild>
                                <w:div w:id="2124886469">
                                  <w:marLeft w:val="0"/>
                                  <w:marRight w:val="0"/>
                                  <w:marTop w:val="0"/>
                                  <w:marBottom w:val="0"/>
                                  <w:divBdr>
                                    <w:top w:val="single" w:sz="4" w:space="0" w:color="F5F5F5"/>
                                    <w:left w:val="single" w:sz="4" w:space="0" w:color="F5F5F5"/>
                                    <w:bottom w:val="single" w:sz="4" w:space="0" w:color="F5F5F5"/>
                                    <w:right w:val="single" w:sz="4" w:space="0" w:color="F5F5F5"/>
                                  </w:divBdr>
                                  <w:divsChild>
                                    <w:div w:id="2048604797">
                                      <w:marLeft w:val="0"/>
                                      <w:marRight w:val="0"/>
                                      <w:marTop w:val="0"/>
                                      <w:marBottom w:val="0"/>
                                      <w:divBdr>
                                        <w:top w:val="none" w:sz="0" w:space="0" w:color="auto"/>
                                        <w:left w:val="none" w:sz="0" w:space="0" w:color="auto"/>
                                        <w:bottom w:val="none" w:sz="0" w:space="0" w:color="auto"/>
                                        <w:right w:val="none" w:sz="0" w:space="0" w:color="auto"/>
                                      </w:divBdr>
                                      <w:divsChild>
                                        <w:div w:id="1429958333">
                                          <w:marLeft w:val="0"/>
                                          <w:marRight w:val="0"/>
                                          <w:marTop w:val="0"/>
                                          <w:marBottom w:val="0"/>
                                          <w:divBdr>
                                            <w:top w:val="none" w:sz="0" w:space="0" w:color="auto"/>
                                            <w:left w:val="none" w:sz="0" w:space="0" w:color="auto"/>
                                            <w:bottom w:val="none" w:sz="0" w:space="0" w:color="auto"/>
                                            <w:right w:val="none" w:sz="0" w:space="0" w:color="auto"/>
                                          </w:divBdr>
                                        </w:div>
                                      </w:divsChild>
                                    </w:div>
                                    <w:div w:id="505874332">
                                      <w:marLeft w:val="0"/>
                                      <w:marRight w:val="0"/>
                                      <w:marTop w:val="0"/>
                                      <w:marBottom w:val="0"/>
                                      <w:divBdr>
                                        <w:top w:val="none" w:sz="0" w:space="0" w:color="auto"/>
                                        <w:left w:val="none" w:sz="0" w:space="0" w:color="auto"/>
                                        <w:bottom w:val="none" w:sz="0" w:space="0" w:color="auto"/>
                                        <w:right w:val="none" w:sz="0" w:space="0" w:color="auto"/>
                                      </w:divBdr>
                                      <w:divsChild>
                                        <w:div w:id="17713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A15AC-D4BB-42D6-BC50-8E77A5C4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8497</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YULISSA SANTOS</cp:lastModifiedBy>
  <cp:revision>2</cp:revision>
  <cp:lastPrinted>2013-02-19T15:29:00Z</cp:lastPrinted>
  <dcterms:created xsi:type="dcterms:W3CDTF">2013-05-03T15:46:00Z</dcterms:created>
  <dcterms:modified xsi:type="dcterms:W3CDTF">2013-05-03T15:46:00Z</dcterms:modified>
</cp:coreProperties>
</file>